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70DE" w:rsidRDefault="007B2BF0">
      <w:pPr>
        <w:rPr>
          <w:b/>
        </w:rPr>
      </w:pPr>
      <w:r>
        <w:rPr>
          <w:b/>
          <w:noProof/>
          <w:lang w:val="ru-RU"/>
        </w:rPr>
        <w:drawing>
          <wp:inline distT="0" distB="0" distL="0" distR="0">
            <wp:extent cx="5733415" cy="1268730"/>
            <wp:effectExtent l="0" t="0" r="635"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jpe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733415" cy="1268730"/>
                    </a:xfrm>
                    <a:prstGeom prst="rect">
                      <a:avLst/>
                    </a:prstGeom>
                  </pic:spPr>
                </pic:pic>
              </a:graphicData>
            </a:graphic>
          </wp:inline>
        </w:drawing>
      </w:r>
    </w:p>
    <w:p w:rsidR="006070DE" w:rsidRDefault="00AD32FD">
      <w:pPr>
        <w:rPr>
          <w:rFonts w:ascii="Times New Roman" w:eastAsia="Times New Roman" w:hAnsi="Times New Roman" w:cs="Times New Roman"/>
          <w:b/>
        </w:rPr>
      </w:pPr>
      <w:r>
        <w:rPr>
          <w:rFonts w:ascii="Times New Roman" w:eastAsia="Times New Roman" w:hAnsi="Times New Roman" w:cs="Times New Roman"/>
          <w:b/>
          <w:lang w:val="ru-RU"/>
        </w:rPr>
        <w:t>5 июля</w:t>
      </w:r>
      <w:r>
        <w:rPr>
          <w:rFonts w:ascii="Times New Roman" w:eastAsia="Times New Roman" w:hAnsi="Times New Roman" w:cs="Times New Roman"/>
          <w:b/>
        </w:rPr>
        <w:t xml:space="preserve"> 2024</w:t>
      </w:r>
      <w:r w:rsidR="007B2BF0">
        <w:rPr>
          <w:rFonts w:ascii="Times New Roman" w:eastAsia="Times New Roman" w:hAnsi="Times New Roman" w:cs="Times New Roman"/>
          <w:b/>
        </w:rPr>
        <w:t xml:space="preserve"> года</w:t>
      </w:r>
    </w:p>
    <w:p w:rsidR="006070DE" w:rsidRDefault="007B2BF0">
      <w:pPr>
        <w:rPr>
          <w:rFonts w:ascii="Times New Roman" w:eastAsia="Times New Roman" w:hAnsi="Times New Roman" w:cs="Times New Roman"/>
          <w:b/>
          <w:lang w:val="ru-RU"/>
        </w:rPr>
      </w:pPr>
      <w:r>
        <w:rPr>
          <w:rFonts w:ascii="Times New Roman" w:eastAsia="Times New Roman" w:hAnsi="Times New Roman" w:cs="Times New Roman"/>
          <w:b/>
        </w:rPr>
        <w:t>Пресс-</w:t>
      </w:r>
      <w:r>
        <w:rPr>
          <w:rFonts w:ascii="Times New Roman" w:eastAsia="Times New Roman" w:hAnsi="Times New Roman" w:cs="Times New Roman"/>
          <w:b/>
          <w:lang w:val="ru-RU"/>
        </w:rPr>
        <w:t>релиз</w:t>
      </w:r>
    </w:p>
    <w:p w:rsidR="006070DE" w:rsidRDefault="006070DE">
      <w:pPr>
        <w:rPr>
          <w:rFonts w:ascii="Times New Roman" w:eastAsia="Times New Roman" w:hAnsi="Times New Roman" w:cs="Times New Roman"/>
          <w:b/>
          <w:sz w:val="28"/>
          <w:szCs w:val="28"/>
        </w:rPr>
      </w:pPr>
    </w:p>
    <w:p w:rsidR="00345925" w:rsidRPr="00345925" w:rsidRDefault="00345925" w:rsidP="00345925">
      <w:pPr>
        <w:spacing w:after="160" w:line="259" w:lineRule="auto"/>
        <w:rPr>
          <w:rFonts w:ascii="Times New Roman" w:eastAsia="Calibri" w:hAnsi="Times New Roman" w:cs="Times New Roman"/>
          <w:b/>
          <w:sz w:val="28"/>
          <w:szCs w:val="28"/>
          <w:lang w:val="ru-RU" w:eastAsia="en-US"/>
        </w:rPr>
      </w:pPr>
      <w:r w:rsidRPr="00345925">
        <w:rPr>
          <w:rFonts w:ascii="Times New Roman" w:eastAsia="Calibri" w:hAnsi="Times New Roman" w:cs="Times New Roman"/>
          <w:b/>
          <w:sz w:val="28"/>
          <w:szCs w:val="28"/>
          <w:lang w:val="ru-RU" w:eastAsia="en-US"/>
        </w:rPr>
        <w:t>От радиотехники до биомедицины: лучшие доклады молодых ученых определили на Международной конференции EDM-2024</w:t>
      </w:r>
    </w:p>
    <w:p w:rsidR="00345925" w:rsidRPr="00345925" w:rsidRDefault="00345925" w:rsidP="00345925">
      <w:pPr>
        <w:spacing w:after="160" w:line="259" w:lineRule="auto"/>
        <w:rPr>
          <w:rFonts w:ascii="Times New Roman" w:eastAsia="Calibri" w:hAnsi="Times New Roman" w:cs="Times New Roman"/>
          <w:b/>
          <w:sz w:val="24"/>
          <w:szCs w:val="24"/>
          <w:lang w:val="ru-RU" w:eastAsia="en-US"/>
        </w:rPr>
      </w:pPr>
      <w:r w:rsidRPr="00345925">
        <w:rPr>
          <w:rFonts w:ascii="Times New Roman" w:eastAsia="Calibri" w:hAnsi="Times New Roman" w:cs="Times New Roman"/>
          <w:b/>
          <w:sz w:val="24"/>
          <w:szCs w:val="24"/>
          <w:lang w:val="ru-RU" w:eastAsia="en-US"/>
        </w:rPr>
        <w:t>Ученые из 14 стран мира, 40 регионов России, 93 вузов и научных организаций стали участниками 25-й юбилейной Международной конференции молодых специалистов в области электронных приборов и материалов EDM.</w:t>
      </w:r>
    </w:p>
    <w:p w:rsidR="00345925" w:rsidRPr="00345925" w:rsidRDefault="00345925" w:rsidP="00345925">
      <w:pPr>
        <w:spacing w:after="160" w:line="259" w:lineRule="auto"/>
        <w:rPr>
          <w:rFonts w:ascii="Times New Roman" w:eastAsia="Calibri" w:hAnsi="Times New Roman" w:cs="Times New Roman"/>
          <w:sz w:val="24"/>
          <w:szCs w:val="24"/>
          <w:lang w:val="ru-RU" w:eastAsia="en-US"/>
        </w:rPr>
      </w:pPr>
      <w:r w:rsidRPr="00345925">
        <w:rPr>
          <w:rFonts w:ascii="Times New Roman" w:eastAsia="Calibri" w:hAnsi="Times New Roman" w:cs="Times New Roman"/>
          <w:sz w:val="24"/>
          <w:szCs w:val="24"/>
          <w:lang w:val="ru-RU" w:eastAsia="en-US"/>
        </w:rPr>
        <w:t>Конференция проводится Новосибирским государственным техническим университетом НЭТИ совместно с Сибирской секцией специалистов IEEE, сообществ IEEE при поддержке индустриальных партнеров. EDM-2024 прошла с 29 июня по 2 июля в Республике Алтай. В этом году председателем программного комитета конференции выступил ректор НГТУ НЭТИ доктор технических наук, профессор Анатолий Батаев.</w:t>
      </w:r>
    </w:p>
    <w:p w:rsidR="00345925" w:rsidRPr="00345925" w:rsidRDefault="00345925" w:rsidP="00345925">
      <w:pPr>
        <w:spacing w:after="160" w:line="259" w:lineRule="auto"/>
        <w:rPr>
          <w:rFonts w:ascii="Times New Roman" w:eastAsia="Calibri" w:hAnsi="Times New Roman" w:cs="Times New Roman"/>
          <w:sz w:val="24"/>
          <w:szCs w:val="24"/>
          <w:lang w:val="ru-RU" w:eastAsia="en-US"/>
        </w:rPr>
      </w:pPr>
      <w:r w:rsidRPr="00345925">
        <w:rPr>
          <w:rFonts w:ascii="Times New Roman" w:eastAsia="Calibri" w:hAnsi="Times New Roman" w:cs="Times New Roman"/>
          <w:sz w:val="24"/>
          <w:szCs w:val="24"/>
          <w:lang w:val="ru-RU" w:eastAsia="en-US"/>
        </w:rPr>
        <w:t>«Для нашего университета очень важно поддерживать традицию проведения EDM. Мне кажется, важнейшей задачей такого рода научных мероприятий является формирование сообщества, поиск партнеров и друзей, с которыми будешь сотрудничать долгие годы. На полях конференции обсуждаются стратегически значимые для развития НГТУ НЭТИ как участника программы «Приоритет 2030» направления, в числе которых – силовая электроника, интеллектуальная энергетика, синхротронное излучение и другие. Своим присутствием на конференции, своими докладами и участием в дискуссиях вы поддерживаете наши стратегические проекты, наши программы развития, – подчеркнул Анатолий Батаев. – Выражаю благодарность организаторам, нашим индустриальным, образовательным и научным партнерам, руководителям секций и, конечно, участникам юбилейной конференции EDM, которая по традиции прошла в атмосфере дружбы и поддержки молодых ученых старшим поколением».</w:t>
      </w:r>
    </w:p>
    <w:p w:rsidR="00345925" w:rsidRPr="00345925" w:rsidRDefault="00345925" w:rsidP="00345925">
      <w:pPr>
        <w:spacing w:after="160" w:line="259" w:lineRule="auto"/>
        <w:rPr>
          <w:rFonts w:ascii="Times New Roman" w:eastAsia="Calibri" w:hAnsi="Times New Roman" w:cs="Times New Roman"/>
          <w:sz w:val="24"/>
          <w:szCs w:val="24"/>
          <w:lang w:val="ru-RU" w:eastAsia="en-US"/>
        </w:rPr>
      </w:pPr>
      <w:r w:rsidRPr="00345925">
        <w:rPr>
          <w:rFonts w:ascii="Times New Roman" w:eastAsia="Calibri" w:hAnsi="Times New Roman" w:cs="Times New Roman"/>
          <w:sz w:val="24"/>
          <w:szCs w:val="24"/>
          <w:lang w:val="ru-RU" w:eastAsia="en-US"/>
        </w:rPr>
        <w:t>Подводя итоги работы конференции, ректор озвучил географию юбилейного научного мероприятия. Она была представлена участниками из 14 стран: России, Беларуси, Китая, Кыргызстана, Казахстана, Узбекистана, Азербайджана, Пакистана, Египта, Сирии, Индии, Испании, Сербии и Монголии.</w:t>
      </w:r>
    </w:p>
    <w:p w:rsidR="00345925" w:rsidRPr="00A647F7" w:rsidRDefault="00345925" w:rsidP="00345925">
      <w:pPr>
        <w:spacing w:after="160" w:line="259" w:lineRule="auto"/>
        <w:rPr>
          <w:rFonts w:ascii="Times New Roman" w:eastAsia="Calibri" w:hAnsi="Times New Roman" w:cs="Times New Roman"/>
          <w:sz w:val="24"/>
          <w:szCs w:val="24"/>
          <w:lang w:val="ru-RU" w:eastAsia="en-US"/>
        </w:rPr>
      </w:pPr>
      <w:r w:rsidRPr="00A647F7">
        <w:rPr>
          <w:rFonts w:ascii="Times New Roman" w:eastAsia="Calibri" w:hAnsi="Times New Roman" w:cs="Times New Roman"/>
          <w:sz w:val="24"/>
          <w:szCs w:val="24"/>
          <w:lang w:val="ru-RU" w:eastAsia="en-US"/>
        </w:rPr>
        <w:t xml:space="preserve">Юбилейная конференция EDM собрала индустриальных и образовательных партнеров НГТУ НЭТИ. Одна из самых многочисленных делегаций конференции в этом году – делегация Томского государственного университета систем управления и радиоэлектроники во главе с ректором Виктором </w:t>
      </w:r>
      <w:proofErr w:type="spellStart"/>
      <w:r w:rsidRPr="00A647F7">
        <w:rPr>
          <w:rFonts w:ascii="Times New Roman" w:eastAsia="Calibri" w:hAnsi="Times New Roman" w:cs="Times New Roman"/>
          <w:sz w:val="24"/>
          <w:szCs w:val="24"/>
          <w:lang w:val="ru-RU" w:eastAsia="en-US"/>
        </w:rPr>
        <w:t>Рулевским</w:t>
      </w:r>
      <w:proofErr w:type="spellEnd"/>
      <w:r w:rsidRPr="00A647F7">
        <w:rPr>
          <w:rFonts w:ascii="Times New Roman" w:eastAsia="Calibri" w:hAnsi="Times New Roman" w:cs="Times New Roman"/>
          <w:sz w:val="24"/>
          <w:szCs w:val="24"/>
          <w:lang w:val="ru-RU" w:eastAsia="en-US"/>
        </w:rPr>
        <w:t>. ТУСУР является участником федеральных программ развития: «Приоритет 2030», «Передовые инженерные школы», на базе вуза действует центр компетенций «Технологии доверенного взаимодействия» НТИ.</w:t>
      </w:r>
    </w:p>
    <w:p w:rsidR="00345925" w:rsidRPr="00A647F7" w:rsidRDefault="00345925" w:rsidP="00345925">
      <w:pPr>
        <w:spacing w:after="160" w:line="259" w:lineRule="auto"/>
        <w:rPr>
          <w:rFonts w:ascii="Times New Roman" w:eastAsia="Calibri" w:hAnsi="Times New Roman" w:cs="Times New Roman"/>
          <w:sz w:val="24"/>
          <w:szCs w:val="24"/>
          <w:lang w:val="ru-RU" w:eastAsia="en-US"/>
        </w:rPr>
      </w:pPr>
    </w:p>
    <w:p w:rsidR="00345925" w:rsidRPr="00345925" w:rsidRDefault="00345925" w:rsidP="00345925">
      <w:pPr>
        <w:spacing w:after="160" w:line="259" w:lineRule="auto"/>
        <w:rPr>
          <w:rFonts w:ascii="Times New Roman" w:eastAsia="Calibri" w:hAnsi="Times New Roman" w:cs="Times New Roman"/>
          <w:sz w:val="24"/>
          <w:szCs w:val="24"/>
          <w:lang w:val="ru-RU" w:eastAsia="en-US"/>
        </w:rPr>
      </w:pPr>
      <w:r w:rsidRPr="00A647F7">
        <w:rPr>
          <w:rFonts w:ascii="Times New Roman" w:eastAsia="Calibri" w:hAnsi="Times New Roman" w:cs="Times New Roman"/>
          <w:sz w:val="24"/>
          <w:szCs w:val="24"/>
          <w:lang w:val="ru-RU" w:eastAsia="en-US"/>
        </w:rPr>
        <w:lastRenderedPageBreak/>
        <w:t>«В рамках этих проектов ключевыми направлениями для нас являются микроэлектроника, системы связи нового поколения, информационная безопасность, космическая инженерия. Собственно, секции конференции охватывают весь этот спектр наших тематических интересов. С одной стороны, EDM – это возможность молодым ученым представить собственные результаты и проекты, с другой стороны – получить экспертное мнение по реализуемым проектам», – прокомментировал Виктор Рулевский.</w:t>
      </w:r>
      <w:bookmarkStart w:id="0" w:name="_GoBack"/>
      <w:bookmarkEnd w:id="0"/>
    </w:p>
    <w:p w:rsidR="00345925" w:rsidRPr="00345925" w:rsidRDefault="00345925" w:rsidP="00345925">
      <w:pPr>
        <w:spacing w:after="160" w:line="259" w:lineRule="auto"/>
        <w:rPr>
          <w:rFonts w:ascii="Times New Roman" w:eastAsia="Calibri" w:hAnsi="Times New Roman" w:cs="Times New Roman"/>
          <w:sz w:val="24"/>
          <w:szCs w:val="24"/>
          <w:lang w:val="ru-RU" w:eastAsia="en-US"/>
        </w:rPr>
      </w:pPr>
      <w:r w:rsidRPr="00345925">
        <w:rPr>
          <w:rFonts w:ascii="Times New Roman" w:eastAsia="Calibri" w:hAnsi="Times New Roman" w:cs="Times New Roman"/>
          <w:sz w:val="24"/>
          <w:szCs w:val="24"/>
          <w:lang w:val="ru-RU" w:eastAsia="en-US"/>
        </w:rPr>
        <w:t>Как отметил заместитель председателя конференции EDM-2024, заведующий кафедрой электроники и электротехники, директор Института силовой электроники НГТУ НЭТИ доктор технических наук, профессор Сергей Харитонов, конференция начиналась в 1999 году с формата школы-семинара, расширяя с годами тематику научных секций, однако неизменным остается миссия Конференции EDM: «Главная задача конференции, заложенная ее основателями, – вовлекать молодежь в науку. И на протяжении 25 лет мы остаемся верны этому вектору».</w:t>
      </w:r>
    </w:p>
    <w:p w:rsidR="00345925" w:rsidRPr="00345925" w:rsidRDefault="00345925" w:rsidP="00345925">
      <w:pPr>
        <w:spacing w:after="160" w:line="259" w:lineRule="auto"/>
        <w:rPr>
          <w:rFonts w:ascii="Times New Roman" w:eastAsia="Calibri" w:hAnsi="Times New Roman" w:cs="Times New Roman"/>
          <w:sz w:val="24"/>
          <w:szCs w:val="24"/>
          <w:lang w:val="ru-RU" w:eastAsia="en-US"/>
        </w:rPr>
      </w:pPr>
      <w:r w:rsidRPr="00345925">
        <w:rPr>
          <w:rFonts w:ascii="Times New Roman" w:eastAsia="Calibri" w:hAnsi="Times New Roman" w:cs="Times New Roman"/>
          <w:sz w:val="24"/>
          <w:szCs w:val="24"/>
          <w:lang w:val="ru-RU" w:eastAsia="en-US"/>
        </w:rPr>
        <w:t>«В течение 25 лет наши студенты, аспиранты и сотрудники активно участвуют в EDM. В результате такой активной работы с НГТУ многие защитили кандидатские и докторские диссертации, том числе в области силовой электроники. Конференция EDM – то место, где молодое поколение и специалисты, достаточно давно работающие в отрасли, имеют возможность обменяться мнениями, технологиями и скорректировать вектор движения», – отметил начальник департамента НТС и НТИ, научный руководитель АО «НТЦ ФСК ЕЭС» доктор технических наук, профессор Дмитрий Панфилов.</w:t>
      </w:r>
    </w:p>
    <w:p w:rsidR="00345925" w:rsidRPr="00345925" w:rsidRDefault="00345925" w:rsidP="00345925">
      <w:pPr>
        <w:spacing w:after="160" w:line="259" w:lineRule="auto"/>
        <w:rPr>
          <w:rFonts w:ascii="Times New Roman" w:eastAsia="Calibri" w:hAnsi="Times New Roman" w:cs="Times New Roman"/>
          <w:b/>
          <w:sz w:val="24"/>
          <w:szCs w:val="24"/>
          <w:lang w:val="ru-RU" w:eastAsia="en-US"/>
        </w:rPr>
      </w:pPr>
      <w:r w:rsidRPr="00345925">
        <w:rPr>
          <w:rFonts w:ascii="Times New Roman" w:eastAsia="Calibri" w:hAnsi="Times New Roman" w:cs="Times New Roman"/>
          <w:b/>
          <w:sz w:val="24"/>
          <w:szCs w:val="24"/>
          <w:lang w:val="ru-RU" w:eastAsia="en-US"/>
        </w:rPr>
        <w:t>EDM прирастает новыми форматами</w:t>
      </w:r>
    </w:p>
    <w:p w:rsidR="00345925" w:rsidRPr="00345925" w:rsidRDefault="00345925" w:rsidP="00345925">
      <w:pPr>
        <w:spacing w:after="160" w:line="259" w:lineRule="auto"/>
        <w:rPr>
          <w:rFonts w:ascii="Times New Roman" w:eastAsia="Calibri" w:hAnsi="Times New Roman" w:cs="Times New Roman"/>
          <w:sz w:val="24"/>
          <w:szCs w:val="24"/>
          <w:lang w:val="ru-RU" w:eastAsia="en-US"/>
        </w:rPr>
      </w:pPr>
      <w:r w:rsidRPr="00345925">
        <w:rPr>
          <w:rFonts w:ascii="Times New Roman" w:eastAsia="Calibri" w:hAnsi="Times New Roman" w:cs="Times New Roman"/>
          <w:sz w:val="24"/>
          <w:szCs w:val="24"/>
          <w:lang w:val="ru-RU" w:eastAsia="en-US"/>
        </w:rPr>
        <w:t>Старт работе конференции был дан традиционным пленарным заседанием, программные доклады которого посвящены актуальным вопросам развития науки и высокотехнологичных отраслей.</w:t>
      </w:r>
    </w:p>
    <w:p w:rsidR="00345925" w:rsidRPr="00345925" w:rsidRDefault="00345925" w:rsidP="00345925">
      <w:pPr>
        <w:spacing w:after="160" w:line="259" w:lineRule="auto"/>
        <w:rPr>
          <w:rFonts w:ascii="Times New Roman" w:eastAsia="Calibri" w:hAnsi="Times New Roman" w:cs="Times New Roman"/>
          <w:sz w:val="24"/>
          <w:szCs w:val="24"/>
          <w:lang w:val="ru-RU" w:eastAsia="en-US"/>
        </w:rPr>
      </w:pPr>
      <w:r w:rsidRPr="00345925">
        <w:rPr>
          <w:rFonts w:ascii="Times New Roman" w:eastAsia="Calibri" w:hAnsi="Times New Roman" w:cs="Times New Roman"/>
          <w:sz w:val="24"/>
          <w:szCs w:val="24"/>
          <w:lang w:val="ru-RU" w:eastAsia="en-US"/>
        </w:rPr>
        <w:t xml:space="preserve">Представитель одного из ведущих индустриальных партнеров НГТУ НЭТИ, начальник базового центра системного проектирования бортовой электронной аппаратуры космических аппаратов АО «Информационные спутниковые системы» имени академика М.Ф. </w:t>
      </w:r>
      <w:proofErr w:type="spellStart"/>
      <w:r w:rsidRPr="00345925">
        <w:rPr>
          <w:rFonts w:ascii="Times New Roman" w:eastAsia="Calibri" w:hAnsi="Times New Roman" w:cs="Times New Roman"/>
          <w:sz w:val="24"/>
          <w:szCs w:val="24"/>
          <w:lang w:val="ru-RU" w:eastAsia="en-US"/>
        </w:rPr>
        <w:t>Решетнёва</w:t>
      </w:r>
      <w:proofErr w:type="spellEnd"/>
      <w:r w:rsidRPr="00345925">
        <w:rPr>
          <w:rFonts w:ascii="Times New Roman" w:eastAsia="Calibri" w:hAnsi="Times New Roman" w:cs="Times New Roman"/>
          <w:sz w:val="24"/>
          <w:szCs w:val="24"/>
          <w:lang w:val="ru-RU" w:eastAsia="en-US"/>
        </w:rPr>
        <w:t xml:space="preserve"> Дмитрий Дымов представил доклад о приборных, информационных и микроэлектронных технологиях для цифровых платформ космических аппаратов. Выступление заведующего кафедрой электроэнергетических, электромеханических и биотехнических систем Московского авиационного института, доктора технических наук Константина Ковалёва «ВТСП электрические машины» было посвящено преимуществам и перспективным областям применения высокотемпературных сверхпроводниковых материалов.</w:t>
      </w:r>
    </w:p>
    <w:p w:rsidR="00345925" w:rsidRPr="00345925" w:rsidRDefault="00345925" w:rsidP="00345925">
      <w:pPr>
        <w:spacing w:after="160" w:line="259" w:lineRule="auto"/>
        <w:rPr>
          <w:rFonts w:ascii="Times New Roman" w:eastAsia="Calibri" w:hAnsi="Times New Roman" w:cs="Times New Roman"/>
          <w:sz w:val="24"/>
          <w:szCs w:val="24"/>
          <w:lang w:val="ru-RU" w:eastAsia="en-US"/>
        </w:rPr>
      </w:pPr>
      <w:r w:rsidRPr="00345925">
        <w:rPr>
          <w:rFonts w:ascii="Times New Roman" w:eastAsia="Calibri" w:hAnsi="Times New Roman" w:cs="Times New Roman"/>
          <w:sz w:val="24"/>
          <w:szCs w:val="24"/>
          <w:lang w:val="ru-RU" w:eastAsia="en-US"/>
        </w:rPr>
        <w:t>«5G для сценариев NTN (</w:t>
      </w:r>
      <w:proofErr w:type="spellStart"/>
      <w:r w:rsidRPr="00345925">
        <w:rPr>
          <w:rFonts w:ascii="Times New Roman" w:eastAsia="Calibri" w:hAnsi="Times New Roman" w:cs="Times New Roman"/>
          <w:sz w:val="24"/>
          <w:szCs w:val="24"/>
          <w:lang w:val="ru-RU" w:eastAsia="en-US"/>
        </w:rPr>
        <w:t>non-terrestrial</w:t>
      </w:r>
      <w:proofErr w:type="spellEnd"/>
      <w:r w:rsidRPr="00345925">
        <w:rPr>
          <w:rFonts w:ascii="Times New Roman" w:eastAsia="Calibri" w:hAnsi="Times New Roman" w:cs="Times New Roman"/>
          <w:sz w:val="24"/>
          <w:szCs w:val="24"/>
          <w:lang w:val="ru-RU" w:eastAsia="en-US"/>
        </w:rPr>
        <w:t xml:space="preserve"> </w:t>
      </w:r>
      <w:proofErr w:type="spellStart"/>
      <w:r w:rsidRPr="00345925">
        <w:rPr>
          <w:rFonts w:ascii="Times New Roman" w:eastAsia="Calibri" w:hAnsi="Times New Roman" w:cs="Times New Roman"/>
          <w:sz w:val="24"/>
          <w:szCs w:val="24"/>
          <w:lang w:val="ru-RU" w:eastAsia="en-US"/>
        </w:rPr>
        <w:t>mobile</w:t>
      </w:r>
      <w:proofErr w:type="spellEnd"/>
      <w:r w:rsidRPr="00345925">
        <w:rPr>
          <w:rFonts w:ascii="Times New Roman" w:eastAsia="Calibri" w:hAnsi="Times New Roman" w:cs="Times New Roman"/>
          <w:sz w:val="24"/>
          <w:szCs w:val="24"/>
          <w:lang w:val="ru-RU" w:eastAsia="en-US"/>
        </w:rPr>
        <w:t xml:space="preserve"> </w:t>
      </w:r>
      <w:proofErr w:type="spellStart"/>
      <w:r w:rsidRPr="00345925">
        <w:rPr>
          <w:rFonts w:ascii="Times New Roman" w:eastAsia="Calibri" w:hAnsi="Times New Roman" w:cs="Times New Roman"/>
          <w:sz w:val="24"/>
          <w:szCs w:val="24"/>
          <w:lang w:val="ru-RU" w:eastAsia="en-US"/>
        </w:rPr>
        <w:t>network</w:t>
      </w:r>
      <w:proofErr w:type="spellEnd"/>
      <w:r w:rsidRPr="00345925">
        <w:rPr>
          <w:rFonts w:ascii="Times New Roman" w:eastAsia="Calibri" w:hAnsi="Times New Roman" w:cs="Times New Roman"/>
          <w:sz w:val="24"/>
          <w:szCs w:val="24"/>
          <w:lang w:val="ru-RU" w:eastAsia="en-US"/>
        </w:rPr>
        <w:t xml:space="preserve">)» – тема доклада заведующей кафедрой телекоммуникационных систем и вычислительных средств Сибирского государственного университета телекоммуникаций и информатики кандидата технических наук, доцента Веры Дроздовой. О </w:t>
      </w:r>
      <w:proofErr w:type="spellStart"/>
      <w:r w:rsidRPr="00345925">
        <w:rPr>
          <w:rFonts w:ascii="Times New Roman" w:eastAsia="Calibri" w:hAnsi="Times New Roman" w:cs="Times New Roman"/>
          <w:sz w:val="24"/>
          <w:szCs w:val="24"/>
          <w:lang w:val="ru-RU" w:eastAsia="en-US"/>
        </w:rPr>
        <w:t>прототипировании</w:t>
      </w:r>
      <w:proofErr w:type="spellEnd"/>
      <w:r w:rsidRPr="00345925">
        <w:rPr>
          <w:rFonts w:ascii="Times New Roman" w:eastAsia="Calibri" w:hAnsi="Times New Roman" w:cs="Times New Roman"/>
          <w:sz w:val="24"/>
          <w:szCs w:val="24"/>
          <w:lang w:val="ru-RU" w:eastAsia="en-US"/>
        </w:rPr>
        <w:t xml:space="preserve"> устройств миллиметрового диапазона в ходе пленарного заседания рассказал менеджер проектов ГК «Научное оборудование» </w:t>
      </w:r>
      <w:proofErr w:type="spellStart"/>
      <w:r w:rsidRPr="00345925">
        <w:rPr>
          <w:rFonts w:ascii="Times New Roman" w:eastAsia="Calibri" w:hAnsi="Times New Roman" w:cs="Times New Roman"/>
          <w:sz w:val="24"/>
          <w:szCs w:val="24"/>
          <w:lang w:val="ru-RU" w:eastAsia="en-US"/>
        </w:rPr>
        <w:t>Бронислав</w:t>
      </w:r>
      <w:proofErr w:type="spellEnd"/>
      <w:r w:rsidRPr="00345925">
        <w:rPr>
          <w:rFonts w:ascii="Times New Roman" w:eastAsia="Calibri" w:hAnsi="Times New Roman" w:cs="Times New Roman"/>
          <w:sz w:val="24"/>
          <w:szCs w:val="24"/>
          <w:lang w:val="ru-RU" w:eastAsia="en-US"/>
        </w:rPr>
        <w:t xml:space="preserve"> </w:t>
      </w:r>
      <w:proofErr w:type="spellStart"/>
      <w:r w:rsidRPr="00345925">
        <w:rPr>
          <w:rFonts w:ascii="Times New Roman" w:eastAsia="Calibri" w:hAnsi="Times New Roman" w:cs="Times New Roman"/>
          <w:sz w:val="24"/>
          <w:szCs w:val="24"/>
          <w:lang w:val="ru-RU" w:eastAsia="en-US"/>
        </w:rPr>
        <w:t>Числов</w:t>
      </w:r>
      <w:proofErr w:type="spellEnd"/>
      <w:r w:rsidRPr="00345925">
        <w:rPr>
          <w:rFonts w:ascii="Times New Roman" w:eastAsia="Calibri" w:hAnsi="Times New Roman" w:cs="Times New Roman"/>
          <w:sz w:val="24"/>
          <w:szCs w:val="24"/>
          <w:lang w:val="ru-RU" w:eastAsia="en-US"/>
        </w:rPr>
        <w:t>.</w:t>
      </w:r>
    </w:p>
    <w:p w:rsidR="00345925" w:rsidRPr="00345925" w:rsidRDefault="00345925" w:rsidP="00345925">
      <w:pPr>
        <w:spacing w:after="160" w:line="259" w:lineRule="auto"/>
        <w:rPr>
          <w:rFonts w:ascii="Times New Roman" w:eastAsia="Calibri" w:hAnsi="Times New Roman" w:cs="Times New Roman"/>
          <w:sz w:val="24"/>
          <w:szCs w:val="24"/>
          <w:lang w:val="ru-RU" w:eastAsia="en-US"/>
        </w:rPr>
      </w:pPr>
      <w:r w:rsidRPr="00345925">
        <w:rPr>
          <w:rFonts w:ascii="Times New Roman" w:eastAsia="Calibri" w:hAnsi="Times New Roman" w:cs="Times New Roman"/>
          <w:sz w:val="24"/>
          <w:szCs w:val="24"/>
          <w:lang w:val="ru-RU" w:eastAsia="en-US"/>
        </w:rPr>
        <w:t xml:space="preserve">Два доклада пленарного заседания представили ученые НГТУ НЭТИ. Заведующий кафедрой </w:t>
      </w:r>
      <w:proofErr w:type="spellStart"/>
      <w:r w:rsidRPr="00345925">
        <w:rPr>
          <w:rFonts w:ascii="Times New Roman" w:eastAsia="Calibri" w:hAnsi="Times New Roman" w:cs="Times New Roman"/>
          <w:sz w:val="24"/>
          <w:szCs w:val="24"/>
          <w:lang w:val="ru-RU" w:eastAsia="en-US"/>
        </w:rPr>
        <w:t>аэрогидродинамики</w:t>
      </w:r>
      <w:proofErr w:type="spellEnd"/>
      <w:r w:rsidRPr="00345925">
        <w:rPr>
          <w:rFonts w:ascii="Times New Roman" w:eastAsia="Calibri" w:hAnsi="Times New Roman" w:cs="Times New Roman"/>
          <w:sz w:val="24"/>
          <w:szCs w:val="24"/>
          <w:lang w:val="ru-RU" w:eastAsia="en-US"/>
        </w:rPr>
        <w:t xml:space="preserve"> НГТУ НЭТИ доктор технических наук, профессор Сергей Саленко посвятил свое выступление успехам и проблемам развития отрасли БАС. Об участии НГТУ НЭТИ в создании Центра коллективного пользования «Сибирский кольцевой источник фотонов» рассказал заведующий научно-</w:t>
      </w:r>
      <w:r w:rsidRPr="00345925">
        <w:rPr>
          <w:rFonts w:ascii="Times New Roman" w:eastAsia="Calibri" w:hAnsi="Times New Roman" w:cs="Times New Roman"/>
          <w:sz w:val="24"/>
          <w:szCs w:val="24"/>
          <w:lang w:val="ru-RU" w:eastAsia="en-US"/>
        </w:rPr>
        <w:lastRenderedPageBreak/>
        <w:t>исследовательской лабораторией физико-химических технологий и функциональных материалов НГТУ НЭТИ, руководитель направления «Научные станции НГТУ в ЦКП «СКИФ» (программа «Приоритет 2030») доктор технических наук Иван Батаев.</w:t>
      </w:r>
    </w:p>
    <w:p w:rsidR="00345925" w:rsidRPr="00345925" w:rsidRDefault="00345925" w:rsidP="00345925">
      <w:pPr>
        <w:spacing w:after="160" w:line="259" w:lineRule="auto"/>
        <w:rPr>
          <w:rFonts w:ascii="Times New Roman" w:eastAsia="Calibri" w:hAnsi="Times New Roman" w:cs="Times New Roman"/>
          <w:sz w:val="24"/>
          <w:szCs w:val="24"/>
          <w:lang w:val="ru-RU" w:eastAsia="en-US"/>
        </w:rPr>
      </w:pPr>
      <w:r w:rsidRPr="00345925">
        <w:rPr>
          <w:rFonts w:ascii="Times New Roman" w:eastAsia="Calibri" w:hAnsi="Times New Roman" w:cs="Times New Roman"/>
          <w:sz w:val="24"/>
          <w:szCs w:val="24"/>
          <w:lang w:val="ru-RU" w:eastAsia="en-US"/>
        </w:rPr>
        <w:t xml:space="preserve">В юбилейный год архитектура конференции дополнена деловой программой. В первый день работы конференции состоялась панельная дискуссия «Проблемы науки и инженерии», модератором которой выступил заведующий кафедрой электротехники и авиационного электрооборудования Московского государственного технического университета гражданской авиации доктор технических наук, профессор Сергей Халютин. Векторы развития силовой энергетической электроники с позиции науки и индустрии обсудили в рамках круглого стола эксперты конференции (модератор – Сергей Харитонов).  </w:t>
      </w:r>
    </w:p>
    <w:p w:rsidR="00345925" w:rsidRPr="00345925" w:rsidRDefault="00345925" w:rsidP="00345925">
      <w:pPr>
        <w:spacing w:after="160" w:line="259" w:lineRule="auto"/>
        <w:rPr>
          <w:rFonts w:ascii="Times New Roman" w:eastAsia="Calibri" w:hAnsi="Times New Roman" w:cs="Times New Roman"/>
          <w:b/>
          <w:sz w:val="24"/>
          <w:szCs w:val="24"/>
          <w:lang w:val="ru-RU" w:eastAsia="en-US"/>
        </w:rPr>
      </w:pPr>
      <w:r w:rsidRPr="00345925">
        <w:rPr>
          <w:rFonts w:ascii="Times New Roman" w:eastAsia="Calibri" w:hAnsi="Times New Roman" w:cs="Times New Roman"/>
          <w:b/>
          <w:sz w:val="24"/>
          <w:szCs w:val="24"/>
          <w:lang w:val="ru-RU" w:eastAsia="en-US"/>
        </w:rPr>
        <w:t>Лучшие доклады EDM-2024</w:t>
      </w:r>
    </w:p>
    <w:p w:rsidR="00345925" w:rsidRPr="00345925" w:rsidRDefault="00345925" w:rsidP="00345925">
      <w:pPr>
        <w:spacing w:after="160" w:line="259" w:lineRule="auto"/>
        <w:rPr>
          <w:rFonts w:ascii="Times New Roman" w:eastAsia="Calibri" w:hAnsi="Times New Roman" w:cs="Times New Roman"/>
          <w:sz w:val="24"/>
          <w:szCs w:val="24"/>
          <w:lang w:val="ru-RU" w:eastAsia="en-US"/>
        </w:rPr>
      </w:pPr>
      <w:r w:rsidRPr="00345925">
        <w:rPr>
          <w:rFonts w:ascii="Times New Roman" w:eastAsia="Calibri" w:hAnsi="Times New Roman" w:cs="Times New Roman"/>
          <w:sz w:val="24"/>
          <w:szCs w:val="24"/>
          <w:lang w:val="ru-RU" w:eastAsia="en-US"/>
        </w:rPr>
        <w:t xml:space="preserve">В этом году оргкомитет конференции получил около 350 заявок, отбор прошли 236 докладов, 122 из которых были представлены очно, 59 докладов подготовлено молодыми учеными НГТУ НЭТИ. Лучшими по итогам выступления признаны 33 доклада.  По традиции, сформированной в 2021 году, экспертное жюри под руководством старшего преподавателя кафедры электронных приборов НГТУ НЭТИ, члена оргкомитета Международной конференции EDM Анны </w:t>
      </w:r>
      <w:proofErr w:type="spellStart"/>
      <w:r w:rsidRPr="00345925">
        <w:rPr>
          <w:rFonts w:ascii="Times New Roman" w:eastAsia="Calibri" w:hAnsi="Times New Roman" w:cs="Times New Roman"/>
          <w:sz w:val="24"/>
          <w:szCs w:val="24"/>
          <w:lang w:val="ru-RU" w:eastAsia="en-US"/>
        </w:rPr>
        <w:t>Казьминой</w:t>
      </w:r>
      <w:proofErr w:type="spellEnd"/>
      <w:r w:rsidRPr="00345925">
        <w:rPr>
          <w:rFonts w:ascii="Times New Roman" w:eastAsia="Calibri" w:hAnsi="Times New Roman" w:cs="Times New Roman"/>
          <w:sz w:val="24"/>
          <w:szCs w:val="24"/>
          <w:lang w:val="ru-RU" w:eastAsia="en-US"/>
        </w:rPr>
        <w:t xml:space="preserve"> определило победителей конкурса «Вовлечение молодых профессионалов», представивших наиболее перспективные и проработанные с точки зрения коммерциализации научные проекты.</w:t>
      </w:r>
    </w:p>
    <w:p w:rsidR="00345925" w:rsidRPr="00345925" w:rsidRDefault="00345925" w:rsidP="00345925">
      <w:pPr>
        <w:spacing w:after="160" w:line="259" w:lineRule="auto"/>
        <w:rPr>
          <w:rFonts w:ascii="Times New Roman" w:eastAsia="Calibri" w:hAnsi="Times New Roman" w:cs="Times New Roman"/>
          <w:sz w:val="24"/>
          <w:szCs w:val="24"/>
          <w:lang w:val="ru-RU" w:eastAsia="en-US"/>
        </w:rPr>
      </w:pPr>
      <w:r w:rsidRPr="00345925">
        <w:rPr>
          <w:rFonts w:ascii="Times New Roman" w:eastAsia="Calibri" w:hAnsi="Times New Roman" w:cs="Times New Roman"/>
          <w:sz w:val="24"/>
          <w:szCs w:val="24"/>
          <w:lang w:val="ru-RU" w:eastAsia="en-US"/>
        </w:rPr>
        <w:t xml:space="preserve">Председателями научных секций, а их в юбилейном году было 11, уже традиционно стали известные ученые. Профессор Сергей Халютин вместе с деканом факультета энергетики НГТУ НЭТИ доктором технических наук, профессором Анастасией </w:t>
      </w:r>
      <w:proofErr w:type="spellStart"/>
      <w:r w:rsidRPr="00345925">
        <w:rPr>
          <w:rFonts w:ascii="Times New Roman" w:eastAsia="Calibri" w:hAnsi="Times New Roman" w:cs="Times New Roman"/>
          <w:sz w:val="24"/>
          <w:szCs w:val="24"/>
          <w:lang w:val="ru-RU" w:eastAsia="en-US"/>
        </w:rPr>
        <w:t>Русиной</w:t>
      </w:r>
      <w:proofErr w:type="spellEnd"/>
      <w:r w:rsidRPr="00345925">
        <w:rPr>
          <w:rFonts w:ascii="Times New Roman" w:eastAsia="Calibri" w:hAnsi="Times New Roman" w:cs="Times New Roman"/>
          <w:sz w:val="24"/>
          <w:szCs w:val="24"/>
          <w:lang w:val="ru-RU" w:eastAsia="en-US"/>
        </w:rPr>
        <w:t xml:space="preserve"> выступили наставниками «дебютировавшей» в юбилейный год секции «Электротехника и электроэнергетика».</w:t>
      </w:r>
    </w:p>
    <w:p w:rsidR="00345925" w:rsidRPr="00345925" w:rsidRDefault="00345925" w:rsidP="00345925">
      <w:pPr>
        <w:spacing w:after="160" w:line="259" w:lineRule="auto"/>
        <w:rPr>
          <w:rFonts w:ascii="Times New Roman" w:eastAsia="Calibri" w:hAnsi="Times New Roman" w:cs="Times New Roman"/>
          <w:sz w:val="24"/>
          <w:szCs w:val="24"/>
          <w:lang w:val="ru-RU" w:eastAsia="en-US"/>
        </w:rPr>
      </w:pPr>
      <w:r w:rsidRPr="00345925">
        <w:rPr>
          <w:rFonts w:ascii="Times New Roman" w:eastAsia="Calibri" w:hAnsi="Times New Roman" w:cs="Times New Roman"/>
          <w:sz w:val="24"/>
          <w:szCs w:val="24"/>
          <w:lang w:val="ru-RU" w:eastAsia="en-US"/>
        </w:rPr>
        <w:t>«Моя миссия на этой конференции заключается, во-первых, в том, чтобы показать молодежи, что такое научная работа и с чем придется столкнуться, когда будут представлять результаты своих исследований экспертному сообществу. Второе – помочь молодым ученым методически, подсказать перспективные направления развития их научных исследований», – отметил Сергей Халютин.</w:t>
      </w:r>
    </w:p>
    <w:p w:rsidR="00345925" w:rsidRPr="00345925" w:rsidRDefault="00345925" w:rsidP="00345925">
      <w:pPr>
        <w:spacing w:after="160" w:line="259" w:lineRule="auto"/>
        <w:rPr>
          <w:rFonts w:ascii="Times New Roman" w:eastAsia="Calibri" w:hAnsi="Times New Roman" w:cs="Times New Roman"/>
          <w:sz w:val="24"/>
          <w:szCs w:val="24"/>
          <w:lang w:val="ru-RU" w:eastAsia="en-US"/>
        </w:rPr>
      </w:pPr>
      <w:r w:rsidRPr="00345925">
        <w:rPr>
          <w:rFonts w:ascii="Times New Roman" w:eastAsia="Calibri" w:hAnsi="Times New Roman" w:cs="Times New Roman"/>
          <w:sz w:val="24"/>
          <w:szCs w:val="24"/>
          <w:lang w:val="ru-RU" w:eastAsia="en-US"/>
        </w:rPr>
        <w:t>«Мы заслушали 26 докладчиков из разных стран: по возобновляемой энергетике, разработке цифровых двойников, управленческим решениям и иным тематикам. С большой долей вероятности на профильных конференциях эти темы будут разнесены по разным секциям, а конференция EDM в очередной раз доказала, что междисциплинарный подход позволяет решать нужные и важные вопросы», – подвела итоги работы секции Анастасия Русина.</w:t>
      </w:r>
    </w:p>
    <w:p w:rsidR="00345925" w:rsidRPr="00345925" w:rsidRDefault="00345925" w:rsidP="00345925">
      <w:pPr>
        <w:spacing w:after="160" w:line="259" w:lineRule="auto"/>
        <w:rPr>
          <w:rFonts w:ascii="Times New Roman" w:eastAsia="Calibri" w:hAnsi="Times New Roman" w:cs="Times New Roman"/>
          <w:sz w:val="24"/>
          <w:szCs w:val="24"/>
          <w:lang w:val="ru-RU" w:eastAsia="en-US"/>
        </w:rPr>
      </w:pPr>
      <w:r w:rsidRPr="00345925">
        <w:rPr>
          <w:rFonts w:ascii="Times New Roman" w:eastAsia="Calibri" w:hAnsi="Times New Roman" w:cs="Times New Roman"/>
          <w:sz w:val="24"/>
          <w:szCs w:val="24"/>
          <w:lang w:val="ru-RU" w:eastAsia="en-US"/>
        </w:rPr>
        <w:t xml:space="preserve">Второй год в рамках EDM была организована секция, посвященная генерации и применению синхротронного излучения. Учитывая создание ЦКП «СКИФ» на территории Новосибирской области, председатели секции – заведующий сектором 8-21 Института ядерной физики имени Г. И. </w:t>
      </w:r>
      <w:proofErr w:type="spellStart"/>
      <w:r w:rsidRPr="00345925">
        <w:rPr>
          <w:rFonts w:ascii="Times New Roman" w:eastAsia="Calibri" w:hAnsi="Times New Roman" w:cs="Times New Roman"/>
          <w:sz w:val="24"/>
          <w:szCs w:val="24"/>
          <w:lang w:val="ru-RU" w:eastAsia="en-US"/>
        </w:rPr>
        <w:t>Будкера</w:t>
      </w:r>
      <w:proofErr w:type="spellEnd"/>
      <w:r w:rsidRPr="00345925">
        <w:rPr>
          <w:rFonts w:ascii="Times New Roman" w:eastAsia="Calibri" w:hAnsi="Times New Roman" w:cs="Times New Roman"/>
          <w:sz w:val="24"/>
          <w:szCs w:val="24"/>
          <w:lang w:val="ru-RU" w:eastAsia="en-US"/>
        </w:rPr>
        <w:t xml:space="preserve"> СО РАН кандидат физико-математических наук Константин Золотарев и доцент кафедры электронных приборов НГТУ НЭТИ кандидат технических наук, доцент Александр Беркин – отметили необходимость появления новых тематических подсекций по тематике синхротронного излучения в следующем году.</w:t>
      </w:r>
    </w:p>
    <w:p w:rsidR="00345925" w:rsidRPr="00345925" w:rsidRDefault="00345925" w:rsidP="00345925">
      <w:pPr>
        <w:spacing w:after="160" w:line="259" w:lineRule="auto"/>
        <w:rPr>
          <w:rFonts w:ascii="Times New Roman" w:eastAsia="Calibri" w:hAnsi="Times New Roman" w:cs="Times New Roman"/>
          <w:sz w:val="24"/>
          <w:szCs w:val="24"/>
          <w:lang w:val="ru-RU" w:eastAsia="en-US"/>
        </w:rPr>
      </w:pPr>
    </w:p>
    <w:p w:rsidR="00345925" w:rsidRPr="00345925" w:rsidRDefault="00345925" w:rsidP="00345925">
      <w:pPr>
        <w:spacing w:after="160" w:line="259" w:lineRule="auto"/>
        <w:rPr>
          <w:rFonts w:ascii="Times New Roman" w:eastAsia="Calibri" w:hAnsi="Times New Roman" w:cs="Times New Roman"/>
          <w:sz w:val="24"/>
          <w:szCs w:val="24"/>
          <w:lang w:val="ru-RU" w:eastAsia="en-US"/>
        </w:rPr>
      </w:pPr>
      <w:r w:rsidRPr="00345925">
        <w:rPr>
          <w:rFonts w:ascii="Times New Roman" w:eastAsia="Calibri" w:hAnsi="Times New Roman" w:cs="Times New Roman"/>
          <w:sz w:val="24"/>
          <w:szCs w:val="24"/>
          <w:lang w:val="ru-RU" w:eastAsia="en-US"/>
        </w:rPr>
        <w:lastRenderedPageBreak/>
        <w:t xml:space="preserve">Наиболее многочисленной по сложившейся традиции стала секция «Радиотехнические системы и телекоммуникации», председателями которой являются заведующий кафедрой радиоприемных и радиопередающих устройств НГТУ НЭТИ доктор технических наук, доцент Максим Степанов и заведующая кафедрой радиотехнических систем </w:t>
      </w:r>
      <w:proofErr w:type="spellStart"/>
      <w:r w:rsidRPr="00345925">
        <w:rPr>
          <w:rFonts w:ascii="Times New Roman" w:eastAsia="Calibri" w:hAnsi="Times New Roman" w:cs="Times New Roman"/>
          <w:sz w:val="24"/>
          <w:szCs w:val="24"/>
          <w:lang w:val="ru-RU" w:eastAsia="en-US"/>
        </w:rPr>
        <w:t>СибГУТИ</w:t>
      </w:r>
      <w:proofErr w:type="spellEnd"/>
      <w:r w:rsidRPr="00345925">
        <w:rPr>
          <w:rFonts w:ascii="Times New Roman" w:eastAsia="Calibri" w:hAnsi="Times New Roman" w:cs="Times New Roman"/>
          <w:sz w:val="24"/>
          <w:szCs w:val="24"/>
          <w:lang w:val="ru-RU" w:eastAsia="en-US"/>
        </w:rPr>
        <w:t xml:space="preserve"> кандидат технических наук, доцент Светлана Воробьева. На секции было представлено 47 докладов молодых ученых.</w:t>
      </w:r>
    </w:p>
    <w:p w:rsidR="00345925" w:rsidRPr="00345925" w:rsidRDefault="00345925" w:rsidP="00345925">
      <w:pPr>
        <w:spacing w:after="160" w:line="259" w:lineRule="auto"/>
        <w:rPr>
          <w:rFonts w:ascii="Times New Roman" w:eastAsia="Calibri" w:hAnsi="Times New Roman" w:cs="Times New Roman"/>
          <w:sz w:val="24"/>
          <w:szCs w:val="24"/>
          <w:lang w:val="ru-RU" w:eastAsia="en-US"/>
        </w:rPr>
      </w:pPr>
      <w:r w:rsidRPr="00345925">
        <w:rPr>
          <w:rFonts w:ascii="Times New Roman" w:eastAsia="Calibri" w:hAnsi="Times New Roman" w:cs="Times New Roman"/>
          <w:sz w:val="24"/>
          <w:szCs w:val="24"/>
          <w:lang w:val="ru-RU" w:eastAsia="en-US"/>
        </w:rPr>
        <w:t xml:space="preserve">Как отметил руководитель организационной группы EDM 2024 Андрей Никулин, в этом году удалось добиться поддержки международного сообщества IEEE </w:t>
      </w:r>
      <w:proofErr w:type="spellStart"/>
      <w:r w:rsidRPr="00345925">
        <w:rPr>
          <w:rFonts w:ascii="Times New Roman" w:eastAsia="Calibri" w:hAnsi="Times New Roman" w:cs="Times New Roman"/>
          <w:sz w:val="24"/>
          <w:szCs w:val="24"/>
          <w:lang w:val="ru-RU" w:eastAsia="en-US"/>
        </w:rPr>
        <w:t>Industry</w:t>
      </w:r>
      <w:proofErr w:type="spellEnd"/>
      <w:r w:rsidRPr="00345925">
        <w:rPr>
          <w:rFonts w:ascii="Times New Roman" w:eastAsia="Calibri" w:hAnsi="Times New Roman" w:cs="Times New Roman"/>
          <w:sz w:val="24"/>
          <w:szCs w:val="24"/>
          <w:lang w:val="ru-RU" w:eastAsia="en-US"/>
        </w:rPr>
        <w:t xml:space="preserve"> </w:t>
      </w:r>
      <w:proofErr w:type="spellStart"/>
      <w:r w:rsidRPr="00345925">
        <w:rPr>
          <w:rFonts w:ascii="Times New Roman" w:eastAsia="Calibri" w:hAnsi="Times New Roman" w:cs="Times New Roman"/>
          <w:sz w:val="24"/>
          <w:szCs w:val="24"/>
          <w:lang w:val="ru-RU" w:eastAsia="en-US"/>
        </w:rPr>
        <w:t>Applications</w:t>
      </w:r>
      <w:proofErr w:type="spellEnd"/>
      <w:r w:rsidRPr="00345925">
        <w:rPr>
          <w:rFonts w:ascii="Times New Roman" w:eastAsia="Calibri" w:hAnsi="Times New Roman" w:cs="Times New Roman"/>
          <w:sz w:val="24"/>
          <w:szCs w:val="24"/>
          <w:lang w:val="ru-RU" w:eastAsia="en-US"/>
        </w:rPr>
        <w:t xml:space="preserve"> </w:t>
      </w:r>
      <w:proofErr w:type="spellStart"/>
      <w:r w:rsidRPr="00345925">
        <w:rPr>
          <w:rFonts w:ascii="Times New Roman" w:eastAsia="Calibri" w:hAnsi="Times New Roman" w:cs="Times New Roman"/>
          <w:sz w:val="24"/>
          <w:szCs w:val="24"/>
          <w:lang w:val="ru-RU" w:eastAsia="en-US"/>
        </w:rPr>
        <w:t>Society</w:t>
      </w:r>
      <w:proofErr w:type="spellEnd"/>
      <w:r w:rsidRPr="00345925">
        <w:rPr>
          <w:rFonts w:ascii="Times New Roman" w:eastAsia="Calibri" w:hAnsi="Times New Roman" w:cs="Times New Roman"/>
          <w:sz w:val="24"/>
          <w:szCs w:val="24"/>
          <w:lang w:val="ru-RU" w:eastAsia="en-US"/>
        </w:rPr>
        <w:t>, что позволяет по итогам конференции рекомендовать расширенные версии лучших докладов, соответствующих научному направлению сообщества, в журналы Q1-Q4.</w:t>
      </w:r>
    </w:p>
    <w:p w:rsidR="00345925" w:rsidRPr="00345925" w:rsidRDefault="00345925" w:rsidP="00345925">
      <w:pPr>
        <w:spacing w:after="160" w:line="259" w:lineRule="auto"/>
        <w:rPr>
          <w:rFonts w:ascii="Times New Roman" w:eastAsia="Calibri" w:hAnsi="Times New Roman" w:cs="Times New Roman"/>
          <w:sz w:val="24"/>
          <w:szCs w:val="24"/>
          <w:lang w:val="ru-RU" w:eastAsia="en-US"/>
        </w:rPr>
      </w:pPr>
      <w:r w:rsidRPr="00345925">
        <w:rPr>
          <w:rFonts w:ascii="Times New Roman" w:eastAsia="Calibri" w:hAnsi="Times New Roman" w:cs="Times New Roman"/>
          <w:sz w:val="24"/>
          <w:szCs w:val="24"/>
          <w:lang w:val="ru-RU" w:eastAsia="en-US"/>
        </w:rPr>
        <w:t>За четверть века конференция EDM приобрела традиции, которые поддерживаются организаторами и участниками: место проведения – университетская база отдыха «</w:t>
      </w:r>
      <w:proofErr w:type="spellStart"/>
      <w:r w:rsidRPr="00345925">
        <w:rPr>
          <w:rFonts w:ascii="Times New Roman" w:eastAsia="Calibri" w:hAnsi="Times New Roman" w:cs="Times New Roman"/>
          <w:sz w:val="24"/>
          <w:szCs w:val="24"/>
          <w:lang w:val="ru-RU" w:eastAsia="en-US"/>
        </w:rPr>
        <w:t>Эрлагол</w:t>
      </w:r>
      <w:proofErr w:type="spellEnd"/>
      <w:r w:rsidRPr="00345925">
        <w:rPr>
          <w:rFonts w:ascii="Times New Roman" w:eastAsia="Calibri" w:hAnsi="Times New Roman" w:cs="Times New Roman"/>
          <w:sz w:val="24"/>
          <w:szCs w:val="24"/>
          <w:lang w:val="ru-RU" w:eastAsia="en-US"/>
        </w:rPr>
        <w:t xml:space="preserve">» в Горном Алтае, неизменные утренние зарядки и волейбольный турнир, победу в котором в этом году одержала «Мечта команды», экскурсии по живописным местам </w:t>
      </w:r>
      <w:proofErr w:type="spellStart"/>
      <w:r w:rsidRPr="00345925">
        <w:rPr>
          <w:rFonts w:ascii="Times New Roman" w:eastAsia="Calibri" w:hAnsi="Times New Roman" w:cs="Times New Roman"/>
          <w:sz w:val="24"/>
          <w:szCs w:val="24"/>
          <w:lang w:val="ru-RU" w:eastAsia="en-US"/>
        </w:rPr>
        <w:t>Чемальского</w:t>
      </w:r>
      <w:proofErr w:type="spellEnd"/>
      <w:r w:rsidRPr="00345925">
        <w:rPr>
          <w:rFonts w:ascii="Times New Roman" w:eastAsia="Calibri" w:hAnsi="Times New Roman" w:cs="Times New Roman"/>
          <w:sz w:val="24"/>
          <w:szCs w:val="24"/>
          <w:lang w:val="ru-RU" w:eastAsia="en-US"/>
        </w:rPr>
        <w:t xml:space="preserve"> района и, конечно, большой научный костер.</w:t>
      </w:r>
    </w:p>
    <w:p w:rsidR="006070DE" w:rsidRDefault="007B2BF0">
      <w:pPr>
        <w:shd w:val="clear" w:color="auto" w:fill="FFFFFF"/>
        <w:spacing w:line="240" w:lineRule="auto"/>
        <w:rPr>
          <w:sz w:val="28"/>
          <w:szCs w:val="28"/>
        </w:rPr>
      </w:pPr>
      <w:r>
        <w:rPr>
          <w:sz w:val="28"/>
          <w:szCs w:val="28"/>
        </w:rPr>
        <w:t>_________________________________________________________</w:t>
      </w:r>
    </w:p>
    <w:p w:rsidR="007B2BF0" w:rsidRDefault="007B2BF0"/>
    <w:p w:rsidR="006070DE" w:rsidRDefault="007B2BF0">
      <w:r>
        <w:t>Для СМИ</w:t>
      </w:r>
    </w:p>
    <w:p w:rsidR="006070DE" w:rsidRDefault="007B2BF0">
      <w:pPr>
        <w:rPr>
          <w:lang w:val="ru-RU"/>
        </w:rPr>
      </w:pPr>
      <w:r w:rsidRPr="007B2BF0">
        <w:rPr>
          <w:lang w:val="ru-RU"/>
        </w:rPr>
        <w:t>Пресс-секретарь НГТУ НЭТИ Елена Танажко, is@nstu.ru, +7-913-398-50-49</w:t>
      </w:r>
    </w:p>
    <w:p w:rsidR="000B4FC0" w:rsidRDefault="000B4FC0" w:rsidP="000B4FC0">
      <w:pPr>
        <w:shd w:val="clear" w:color="auto" w:fill="FFFFFF"/>
        <w:spacing w:line="240" w:lineRule="auto"/>
        <w:rPr>
          <w:sz w:val="28"/>
          <w:szCs w:val="28"/>
        </w:rPr>
      </w:pPr>
      <w:r>
        <w:rPr>
          <w:sz w:val="28"/>
          <w:szCs w:val="28"/>
        </w:rPr>
        <w:t>_________________________________________________________</w:t>
      </w:r>
    </w:p>
    <w:p w:rsidR="006070DE" w:rsidRDefault="006070DE">
      <w:pPr>
        <w:rPr>
          <w:color w:val="0000FF"/>
          <w:u w:val="single"/>
        </w:rPr>
      </w:pPr>
    </w:p>
    <w:tbl>
      <w:tblPr>
        <w:tblStyle w:val="a5"/>
        <w:tblW w:w="9223" w:type="dxa"/>
        <w:tblInd w:w="0" w:type="dxa"/>
        <w:tblLayout w:type="fixed"/>
        <w:tblLook w:val="0400" w:firstRow="0" w:lastRow="0" w:firstColumn="0" w:lastColumn="0" w:noHBand="0" w:noVBand="1"/>
      </w:tblPr>
      <w:tblGrid>
        <w:gridCol w:w="2552"/>
        <w:gridCol w:w="2977"/>
        <w:gridCol w:w="2694"/>
        <w:gridCol w:w="250"/>
        <w:gridCol w:w="250"/>
        <w:gridCol w:w="250"/>
        <w:gridCol w:w="250"/>
      </w:tblGrid>
      <w:tr w:rsidR="000B4FC0" w:rsidTr="000B4FC0">
        <w:tc>
          <w:tcPr>
            <w:tcW w:w="2552" w:type="dxa"/>
            <w:shd w:val="clear" w:color="auto" w:fill="auto"/>
          </w:tcPr>
          <w:p w:rsidR="000B4FC0" w:rsidRDefault="00A647F7">
            <w:pPr>
              <w:tabs>
                <w:tab w:val="center" w:pos="4677"/>
                <w:tab w:val="right" w:pos="9355"/>
              </w:tabs>
              <w:rPr>
                <w:lang w:val="ru-RU"/>
              </w:rPr>
            </w:pPr>
            <w:r>
              <w:pict>
                <v:shape id="Рисунок 3" o:spid="_x0000_i1027" type="#_x0000_t75" style="width:12pt;height:12.75pt;visibility:visible;mso-wrap-style:square">
                  <v:imagedata r:id="rId6" o:title=""/>
                </v:shape>
              </w:pict>
            </w:r>
            <w:r w:rsidR="000B4FC0">
              <w:rPr>
                <w:lang w:val="ru-RU"/>
              </w:rPr>
              <w:t xml:space="preserve"> </w:t>
            </w:r>
            <w:hyperlink r:id="rId7" w:history="1">
              <w:proofErr w:type="spellStart"/>
              <w:r w:rsidR="000B4FC0">
                <w:rPr>
                  <w:rStyle w:val="a7"/>
                  <w:lang w:val="ru-RU"/>
                </w:rPr>
                <w:t>Яндекс.Дзен</w:t>
              </w:r>
              <w:proofErr w:type="spellEnd"/>
            </w:hyperlink>
          </w:p>
          <w:p w:rsidR="000B4FC0" w:rsidRDefault="000B4FC0">
            <w:pPr>
              <w:tabs>
                <w:tab w:val="center" w:pos="4677"/>
                <w:tab w:val="right" w:pos="9355"/>
              </w:tabs>
              <w:rPr>
                <w:lang w:val="en-US"/>
              </w:rPr>
            </w:pPr>
            <w:r>
              <w:rPr>
                <w:noProof/>
                <w:lang w:val="ru-RU"/>
              </w:rPr>
              <w:drawing>
                <wp:inline distT="0" distB="0" distL="0" distR="0" wp14:anchorId="1A7B85AE" wp14:editId="0FC42E8B">
                  <wp:extent cx="152400" cy="152400"/>
                  <wp:effectExtent l="0" t="0" r="0" b="0"/>
                  <wp:docPr id="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8"/>
                          <a:srcRect/>
                          <a:stretch>
                            <a:fillRect/>
                          </a:stretch>
                        </pic:blipFill>
                        <pic:spPr>
                          <a:xfrm>
                            <a:off x="0" y="0"/>
                            <a:ext cx="152400" cy="152400"/>
                          </a:xfrm>
                          <a:prstGeom prst="rect">
                            <a:avLst/>
                          </a:prstGeom>
                          <a:ln/>
                        </pic:spPr>
                      </pic:pic>
                    </a:graphicData>
                  </a:graphic>
                </wp:inline>
              </w:drawing>
            </w:r>
            <w:r>
              <w:rPr>
                <w:color w:val="0000FF"/>
                <w:u w:val="single"/>
                <w:lang w:val="ru-RU"/>
              </w:rPr>
              <w:t xml:space="preserve"> ВКонтакте</w:t>
            </w:r>
          </w:p>
        </w:tc>
        <w:tc>
          <w:tcPr>
            <w:tcW w:w="2977" w:type="dxa"/>
            <w:shd w:val="clear" w:color="auto" w:fill="auto"/>
          </w:tcPr>
          <w:p w:rsidR="000B4FC0" w:rsidRDefault="00A647F7">
            <w:pPr>
              <w:tabs>
                <w:tab w:val="center" w:pos="4677"/>
                <w:tab w:val="right" w:pos="9355"/>
              </w:tabs>
              <w:ind w:left="-113" w:firstLine="113"/>
              <w:rPr>
                <w:lang w:val="ru-RU"/>
              </w:rPr>
            </w:pPr>
            <w:r>
              <w:pict>
                <v:shape id="Рисунок 10" o:spid="_x0000_i1028" type="#_x0000_t75" style="width:13.5pt;height:13.5pt;visibility:visible;mso-wrap-style:square">
                  <v:imagedata r:id="rId9" o:title=""/>
                </v:shape>
              </w:pict>
            </w:r>
            <w:r w:rsidR="000B4FC0">
              <w:rPr>
                <w:lang w:val="en-US"/>
              </w:rPr>
              <w:t xml:space="preserve"> </w:t>
            </w:r>
            <w:hyperlink r:id="rId10" w:history="1">
              <w:r w:rsidR="000B4FC0">
                <w:rPr>
                  <w:rStyle w:val="a7"/>
                  <w:lang w:val="ru-RU"/>
                </w:rPr>
                <w:t>Телеграм</w:t>
              </w:r>
            </w:hyperlink>
          </w:p>
          <w:p w:rsidR="000B4FC0" w:rsidRDefault="000B4FC0">
            <w:pPr>
              <w:tabs>
                <w:tab w:val="center" w:pos="4677"/>
                <w:tab w:val="right" w:pos="9355"/>
              </w:tabs>
              <w:ind w:left="-113" w:firstLine="113"/>
              <w:rPr>
                <w:lang w:val="ru-RU"/>
              </w:rPr>
            </w:pPr>
            <w:r>
              <w:rPr>
                <w:noProof/>
                <w:lang w:val="ru-RU"/>
              </w:rPr>
              <w:drawing>
                <wp:inline distT="0" distB="0" distL="0" distR="0" wp14:anchorId="743A4529" wp14:editId="7A7C3EB6">
                  <wp:extent cx="152400" cy="152400"/>
                  <wp:effectExtent l="0" t="0" r="0" b="0"/>
                  <wp:docPr id="9" name="image2.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0" name="image2.jpg" descr="&amp;Kcy;&amp;acy;&amp;rcy;&amp;tcy;&amp;icy;&amp;ncy;&amp;kcy;&amp;icy; &amp;pcy;&amp;ocy; &amp;zcy;&amp;acy;&amp;pcy;&amp;rcy;&amp;ocy;&amp;scy;&amp;ucy; &amp;icy;&amp;kcy;&amp;ocy;&amp;ncy;&amp;kcy;&amp;acy; &amp;fcy;&amp;ocy;&amp;tcy;&amp;ocy;&amp;gcy;&amp;acy;&amp;lcy;&amp;iecy;&amp;rcy;&amp;iecy;&amp;yacy;"/>
                          <pic:cNvPicPr preferRelativeResize="0"/>
                        </pic:nvPicPr>
                        <pic:blipFill>
                          <a:blip r:embed="rId11"/>
                          <a:srcRect l="4953" t="4401" r="4913" b="5463"/>
                          <a:stretch>
                            <a:fillRect/>
                          </a:stretch>
                        </pic:blipFill>
                        <pic:spPr>
                          <a:xfrm>
                            <a:off x="0" y="0"/>
                            <a:ext cx="152400" cy="152400"/>
                          </a:xfrm>
                          <a:prstGeom prst="rect">
                            <a:avLst/>
                          </a:prstGeom>
                          <a:ln/>
                        </pic:spPr>
                      </pic:pic>
                    </a:graphicData>
                  </a:graphic>
                </wp:inline>
              </w:drawing>
            </w:r>
            <w:r>
              <w:rPr>
                <w:lang w:val="en-US"/>
              </w:rPr>
              <w:t xml:space="preserve"> </w:t>
            </w:r>
            <w:hyperlink r:id="rId12" w:history="1">
              <w:r>
                <w:rPr>
                  <w:rStyle w:val="a7"/>
                  <w:lang w:val="ru-RU"/>
                </w:rPr>
                <w:t>Фото и видео</w:t>
              </w:r>
            </w:hyperlink>
          </w:p>
          <w:p w:rsidR="000B4FC0" w:rsidRDefault="000B4FC0">
            <w:pPr>
              <w:tabs>
                <w:tab w:val="center" w:pos="4677"/>
                <w:tab w:val="right" w:pos="9355"/>
              </w:tabs>
              <w:ind w:left="714"/>
              <w:rPr>
                <w:lang w:val="en-US"/>
              </w:rPr>
            </w:pPr>
          </w:p>
        </w:tc>
        <w:tc>
          <w:tcPr>
            <w:tcW w:w="2694" w:type="dxa"/>
            <w:shd w:val="clear" w:color="auto" w:fill="auto"/>
          </w:tcPr>
          <w:p w:rsidR="000B4FC0" w:rsidRDefault="000B4FC0">
            <w:pPr>
              <w:tabs>
                <w:tab w:val="center" w:pos="4677"/>
                <w:tab w:val="right" w:pos="9355"/>
              </w:tabs>
              <w:rPr>
                <w:lang w:val="en-US"/>
              </w:rPr>
            </w:pPr>
            <w:r>
              <w:rPr>
                <w:noProof/>
                <w:lang w:val="ru-RU"/>
              </w:rPr>
              <w:drawing>
                <wp:inline distT="0" distB="0" distL="0" distR="0" wp14:anchorId="0B7EC009" wp14:editId="1899CCBF">
                  <wp:extent cx="142875" cy="152400"/>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3"/>
                          <a:srcRect/>
                          <a:stretch>
                            <a:fillRect/>
                          </a:stretch>
                        </pic:blipFill>
                        <pic:spPr>
                          <a:xfrm>
                            <a:off x="0" y="0"/>
                            <a:ext cx="142875" cy="152400"/>
                          </a:xfrm>
                          <a:prstGeom prst="rect">
                            <a:avLst/>
                          </a:prstGeom>
                          <a:ln/>
                        </pic:spPr>
                      </pic:pic>
                    </a:graphicData>
                  </a:graphic>
                </wp:inline>
              </w:drawing>
            </w:r>
            <w:r>
              <w:rPr>
                <w:lang w:val="ru-RU"/>
              </w:rPr>
              <w:t xml:space="preserve"> </w:t>
            </w:r>
            <w:hyperlink r:id="rId14">
              <w:r>
                <w:rPr>
                  <w:color w:val="0000FF"/>
                  <w:u w:val="single"/>
                  <w:lang w:val="ru-RU"/>
                </w:rPr>
                <w:t>Новости</w:t>
              </w:r>
            </w:hyperlink>
          </w:p>
          <w:p w:rsidR="000B4FC0" w:rsidRDefault="000B4FC0">
            <w:pPr>
              <w:tabs>
                <w:tab w:val="center" w:pos="4677"/>
                <w:tab w:val="right" w:pos="9355"/>
              </w:tabs>
              <w:rPr>
                <w:lang w:val="ru-RU"/>
              </w:rPr>
            </w:pPr>
            <w:r>
              <w:rPr>
                <w:noProof/>
                <w:lang w:val="ru-RU"/>
              </w:rPr>
              <w:drawing>
                <wp:inline distT="0" distB="0" distL="0" distR="0" wp14:anchorId="5F508D0F" wp14:editId="304051D7">
                  <wp:extent cx="152400" cy="14287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5"/>
                          <a:srcRect/>
                          <a:stretch>
                            <a:fillRect/>
                          </a:stretch>
                        </pic:blipFill>
                        <pic:spPr>
                          <a:xfrm>
                            <a:off x="0" y="0"/>
                            <a:ext cx="152400" cy="142875"/>
                          </a:xfrm>
                          <a:prstGeom prst="rect">
                            <a:avLst/>
                          </a:prstGeom>
                          <a:ln/>
                        </pic:spPr>
                      </pic:pic>
                    </a:graphicData>
                  </a:graphic>
                </wp:inline>
              </w:drawing>
            </w:r>
            <w:r>
              <w:rPr>
                <w:lang w:val="ru-RU"/>
              </w:rPr>
              <w:t xml:space="preserve"> </w:t>
            </w:r>
            <w:hyperlink r:id="rId16">
              <w:r>
                <w:rPr>
                  <w:color w:val="0000FF"/>
                  <w:u w:val="single"/>
                  <w:lang w:val="ru-RU"/>
                </w:rPr>
                <w:t>Пресс</w:t>
              </w:r>
            </w:hyperlink>
            <w:r>
              <w:rPr>
                <w:color w:val="0000FF"/>
                <w:u w:val="single"/>
                <w:lang w:val="ru-RU"/>
              </w:rPr>
              <w:t>-релизы</w:t>
            </w:r>
          </w:p>
        </w:tc>
        <w:tc>
          <w:tcPr>
            <w:tcW w:w="250" w:type="dxa"/>
          </w:tcPr>
          <w:p w:rsidR="000B4FC0" w:rsidRDefault="000B4FC0">
            <w:pPr>
              <w:tabs>
                <w:tab w:val="center" w:pos="4677"/>
                <w:tab w:val="right" w:pos="9355"/>
              </w:tabs>
              <w:rPr>
                <w:lang w:val="ru-RU"/>
              </w:rPr>
            </w:pPr>
          </w:p>
        </w:tc>
        <w:tc>
          <w:tcPr>
            <w:tcW w:w="250" w:type="dxa"/>
          </w:tcPr>
          <w:p w:rsidR="000B4FC0" w:rsidRDefault="000B4FC0">
            <w:pPr>
              <w:tabs>
                <w:tab w:val="center" w:pos="4677"/>
                <w:tab w:val="right" w:pos="9355"/>
              </w:tabs>
              <w:rPr>
                <w:lang w:val="ru-RU"/>
              </w:rPr>
            </w:pPr>
            <w:r>
              <w:rPr>
                <w:lang w:val="ru-RU"/>
              </w:rPr>
              <w:t xml:space="preserve">      </w:t>
            </w:r>
          </w:p>
        </w:tc>
        <w:tc>
          <w:tcPr>
            <w:tcW w:w="250" w:type="dxa"/>
          </w:tcPr>
          <w:p w:rsidR="000B4FC0" w:rsidRPr="000B4FC0" w:rsidRDefault="000B4FC0">
            <w:pPr>
              <w:tabs>
                <w:tab w:val="center" w:pos="4677"/>
                <w:tab w:val="right" w:pos="9355"/>
              </w:tabs>
              <w:rPr>
                <w:lang w:val="ru-RU"/>
              </w:rPr>
            </w:pPr>
            <w:r>
              <w:rPr>
                <w:lang w:val="ru-RU"/>
              </w:rPr>
              <w:t xml:space="preserve"> </w:t>
            </w:r>
          </w:p>
        </w:tc>
        <w:tc>
          <w:tcPr>
            <w:tcW w:w="250" w:type="dxa"/>
            <w:shd w:val="clear" w:color="auto" w:fill="auto"/>
          </w:tcPr>
          <w:p w:rsidR="000B4FC0" w:rsidRDefault="000B4FC0">
            <w:pPr>
              <w:tabs>
                <w:tab w:val="center" w:pos="4677"/>
                <w:tab w:val="right" w:pos="9355"/>
              </w:tabs>
              <w:rPr>
                <w:lang w:val="en-US"/>
              </w:rPr>
            </w:pPr>
          </w:p>
        </w:tc>
      </w:tr>
    </w:tbl>
    <w:p w:rsidR="006070DE" w:rsidRDefault="006070DE">
      <w:pPr>
        <w:rPr>
          <w:rFonts w:ascii="Times New Roman" w:eastAsia="Times New Roman" w:hAnsi="Times New Roman" w:cs="Times New Roman"/>
          <w:sz w:val="28"/>
          <w:szCs w:val="28"/>
        </w:rPr>
      </w:pPr>
    </w:p>
    <w:sectPr w:rsidR="006070DE">
      <w:pgSz w:w="11909" w:h="16834"/>
      <w:pgMar w:top="851" w:right="1440" w:bottom="851"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charset w:val="00"/>
    <w:family w:val="auto"/>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4" type="#_x0000_t75" style="width:333.75pt;height:327.75pt;visibility:visible;mso-wrap-style:square" o:bullet="t">
        <v:imagedata r:id="rId1" o:title=""/>
      </v:shape>
    </w:pict>
  </w:numPicBullet>
  <w:numPicBullet w:numPicBulletId="1">
    <w:pict>
      <v:shape id="_x0000_i1045" type="#_x0000_t75" style="width:637.5pt;height:638.25pt;visibility:visible;mso-wrap-style:square" o:bullet="t">
        <v:imagedata r:id="rId2" o:title=""/>
      </v:shape>
    </w:pict>
  </w:numPicBullet>
  <w:abstractNum w:abstractNumId="0" w15:restartNumberingAfterBreak="0">
    <w:nsid w:val="02EF32EE"/>
    <w:multiLevelType w:val="multilevel"/>
    <w:tmpl w:val="1EC83D3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62DD73B0"/>
    <w:multiLevelType w:val="hybridMultilevel"/>
    <w:tmpl w:val="CEA655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70DE"/>
    <w:rsid w:val="000B4FC0"/>
    <w:rsid w:val="00345925"/>
    <w:rsid w:val="006070DE"/>
    <w:rsid w:val="007B2BF0"/>
    <w:rsid w:val="00A647F7"/>
    <w:rsid w:val="00AD32FD"/>
    <w:rsid w:val="00D54D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B600AED-8E49-4316-8B9C-1D5FF12C52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left w:w="115" w:type="dxa"/>
        <w:right w:w="115" w:type="dxa"/>
      </w:tblCellMar>
    </w:tblPr>
  </w:style>
  <w:style w:type="paragraph" w:styleId="a6">
    <w:name w:val="Normal (Web)"/>
    <w:basedOn w:val="a"/>
    <w:uiPriority w:val="99"/>
    <w:unhideWhenUsed/>
    <w:pPr>
      <w:spacing w:before="100" w:beforeAutospacing="1" w:after="100" w:afterAutospacing="1" w:line="240" w:lineRule="auto"/>
    </w:pPr>
    <w:rPr>
      <w:rFonts w:ascii="Times New Roman" w:eastAsia="Times New Roman" w:hAnsi="Times New Roman" w:cs="Times New Roman"/>
      <w:sz w:val="24"/>
      <w:szCs w:val="24"/>
      <w:lang w:val="ru-RU"/>
    </w:rPr>
  </w:style>
  <w:style w:type="character" w:styleId="a7">
    <w:name w:val="Hyperlink"/>
    <w:basedOn w:val="a0"/>
    <w:uiPriority w:val="99"/>
    <w:unhideWhenUsed/>
    <w:rPr>
      <w:color w:val="0000FF"/>
      <w:u w:val="single"/>
    </w:rPr>
  </w:style>
  <w:style w:type="character" w:styleId="a8">
    <w:name w:val="Strong"/>
    <w:basedOn w:val="a0"/>
    <w:uiPriority w:val="22"/>
    <w:qFormat/>
    <w:rPr>
      <w:b/>
      <w:bCs/>
    </w:rPr>
  </w:style>
  <w:style w:type="character" w:styleId="a9">
    <w:name w:val="FollowedHyperlink"/>
    <w:basedOn w:val="a0"/>
    <w:uiPriority w:val="99"/>
    <w:semiHidden/>
    <w:unhideWhenUse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0394721">
      <w:bodyDiv w:val="1"/>
      <w:marLeft w:val="0"/>
      <w:marRight w:val="0"/>
      <w:marTop w:val="0"/>
      <w:marBottom w:val="0"/>
      <w:divBdr>
        <w:top w:val="none" w:sz="0" w:space="0" w:color="auto"/>
        <w:left w:val="none" w:sz="0" w:space="0" w:color="auto"/>
        <w:bottom w:val="none" w:sz="0" w:space="0" w:color="auto"/>
        <w:right w:val="none" w:sz="0" w:space="0" w:color="auto"/>
      </w:divBdr>
      <w:divsChild>
        <w:div w:id="935016079">
          <w:marLeft w:val="0"/>
          <w:marRight w:val="0"/>
          <w:marTop w:val="0"/>
          <w:marBottom w:val="0"/>
          <w:divBdr>
            <w:top w:val="none" w:sz="0" w:space="0" w:color="auto"/>
            <w:left w:val="none" w:sz="0" w:space="0" w:color="auto"/>
            <w:bottom w:val="none" w:sz="0" w:space="0" w:color="auto"/>
            <w:right w:val="none" w:sz="0" w:space="0" w:color="auto"/>
          </w:divBdr>
        </w:div>
        <w:div w:id="337004960">
          <w:marLeft w:val="0"/>
          <w:marRight w:val="0"/>
          <w:marTop w:val="0"/>
          <w:marBottom w:val="0"/>
          <w:divBdr>
            <w:top w:val="none" w:sz="0" w:space="0" w:color="auto"/>
            <w:left w:val="none" w:sz="0" w:space="0" w:color="auto"/>
            <w:bottom w:val="none" w:sz="0" w:space="0" w:color="auto"/>
            <w:right w:val="none" w:sz="0" w:space="0" w:color="auto"/>
          </w:divBdr>
          <w:divsChild>
            <w:div w:id="429786248">
              <w:marLeft w:val="-38"/>
              <w:marRight w:val="-38"/>
              <w:marTop w:val="0"/>
              <w:marBottom w:val="390"/>
              <w:divBdr>
                <w:top w:val="none" w:sz="0" w:space="0" w:color="auto"/>
                <w:left w:val="none" w:sz="0" w:space="0" w:color="auto"/>
                <w:bottom w:val="none" w:sz="0" w:space="0" w:color="auto"/>
                <w:right w:val="none" w:sz="0" w:space="0" w:color="auto"/>
              </w:divBdr>
            </w:div>
            <w:div w:id="415640426">
              <w:marLeft w:val="-150"/>
              <w:marRight w:val="-150"/>
              <w:marTop w:val="0"/>
              <w:marBottom w:val="0"/>
              <w:divBdr>
                <w:top w:val="none" w:sz="0" w:space="0" w:color="auto"/>
                <w:left w:val="none" w:sz="0" w:space="0" w:color="auto"/>
                <w:bottom w:val="none" w:sz="0" w:space="0" w:color="auto"/>
                <w:right w:val="none" w:sz="0" w:space="0" w:color="auto"/>
              </w:divBdr>
              <w:divsChild>
                <w:div w:id="1558128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dzen.ru/nstu_neti" TargetMode="External"/><Relationship Id="rId12" Type="http://schemas.openxmlformats.org/officeDocument/2006/relationships/hyperlink" Target="https://www.nstu.ru/media/foto_video"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nstu.ru/pressreleases"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5.jpg"/><Relationship Id="rId5" Type="http://schemas.openxmlformats.org/officeDocument/2006/relationships/image" Target="media/image3.jpeg"/><Relationship Id="rId15" Type="http://schemas.openxmlformats.org/officeDocument/2006/relationships/image" Target="media/image7.png"/><Relationship Id="rId10" Type="http://schemas.openxmlformats.org/officeDocument/2006/relationships/hyperlink" Target="https://t.me/nstu_neti"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www.nstu.ru/news" TargetMode="Externa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1540</Words>
  <Characters>8781</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UIP-User</dc:creator>
  <cp:lastModifiedBy>User</cp:lastModifiedBy>
  <cp:revision>3</cp:revision>
  <dcterms:created xsi:type="dcterms:W3CDTF">2024-07-05T04:03:00Z</dcterms:created>
  <dcterms:modified xsi:type="dcterms:W3CDTF">2024-07-05T04:43:00Z</dcterms:modified>
</cp:coreProperties>
</file>