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>
          <w:rFonts w:ascii="Times New Roman" w:cs="Times New Roman" w:eastAsia="Times New Roman" w:hAnsi="Times New Roman"/>
          <w:color w:val="000000"/>
          <w:sz w:val="16"/>
          <w:szCs w:val="16"/>
          <w:highlight w:val="white"/>
        </w:rPr>
      </w:pPr>
      <w:r w:rsidDel="00000000" w:rsidR="00000000" w:rsidRPr="00000000">
        <w:rPr>
          <w:rFonts w:ascii="Arial" w:cs="Arial" w:eastAsia="Arial" w:hAnsi="Arial"/>
          <w:b w:val="1"/>
        </w:rPr>
        <w:drawing>
          <wp:inline distB="0" distT="0" distL="0" distR="0">
            <wp:extent cx="4810125" cy="752475"/>
            <wp:effectExtent b="0" l="0" r="0" t="0"/>
            <wp:docPr id="1" name="image3.png"/>
            <a:graphic>
              <a:graphicData uri="http://schemas.openxmlformats.org/drawingml/2006/picture">
                <pic:pic>
                  <pic:nvPicPr>
                    <pic:cNvPr id="0" name="image3.png"/>
                    <pic:cNvPicPr preferRelativeResize="0"/>
                  </pic:nvPicPr>
                  <pic:blipFill>
                    <a:blip r:embed="rId6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4810125" cy="752475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rPr>
          <w:rFonts w:ascii="Times New Roman" w:cs="Times New Roman" w:eastAsia="Times New Roman" w:hAnsi="Times New Roman"/>
          <w:b w:val="1"/>
          <w:color w:val="000000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highlight w:val="white"/>
          <w:rtl w:val="0"/>
        </w:rPr>
        <w:t xml:space="preserve">6 мая</w:t>
      </w: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4"/>
          <w:szCs w:val="24"/>
          <w:highlight w:val="white"/>
          <w:rtl w:val="0"/>
        </w:rPr>
        <w:t xml:space="preserve"> 2023 года</w:t>
      </w:r>
    </w:p>
    <w:p w:rsidR="00000000" w:rsidDel="00000000" w:rsidP="00000000" w:rsidRDefault="00000000" w:rsidRPr="00000000" w14:paraId="00000003">
      <w:pPr>
        <w:rPr>
          <w:rFonts w:ascii="Times New Roman" w:cs="Times New Roman" w:eastAsia="Times New Roman" w:hAnsi="Times New Roman"/>
          <w:b w:val="1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4"/>
          <w:szCs w:val="24"/>
          <w:highlight w:val="white"/>
          <w:rtl w:val="0"/>
        </w:rPr>
        <w:t xml:space="preserve">Пресс-релиз: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highlight w:val="white"/>
          <w:rtl w:val="0"/>
        </w:rPr>
        <w:t xml:space="preserve">Банк «ВТБ» запустил сервис с анимированным переводчиком на РЖЯ, разработанным в НГТУ НЭТИ»</w:t>
      </w:r>
    </w:p>
    <w:p w:rsidR="00000000" w:rsidDel="00000000" w:rsidP="00000000" w:rsidRDefault="00000000" w:rsidRPr="00000000" w14:paraId="00000004">
      <w:pPr>
        <w:rPr>
          <w:rFonts w:ascii="Times New Roman" w:cs="Times New Roman" w:eastAsia="Times New Roman" w:hAnsi="Times New Roman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Разработанный учеными Новосибирского государственного технического университета НЭТИ и инженерами «Адаптис» (индустриальный партнер проекта, резидент Фонда «Сколково», актив РАТМ Холдинга) анимированный аватар перевода на русский жестовый язык (РЖЯ) стал доступен клиентам банка «ВТБ». Разработка аватара осуществляется в рамках федерального проекта «Приоритет 2030» национального проекта «Наука и университеты». </w:t>
      </w:r>
    </w:p>
    <w:p w:rsidR="00000000" w:rsidDel="00000000" w:rsidP="00000000" w:rsidRDefault="00000000" w:rsidRPr="00000000" w14:paraId="00000005">
      <w:pPr>
        <w:rPr>
          <w:rFonts w:ascii="Times New Roman" w:cs="Times New Roman" w:eastAsia="Times New Roman" w:hAnsi="Times New Roman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«НГТУ НЭТИ совместно с компанией “Адаптис” создали для ВТБ сайт для консультации глухих клиентов на русском жестовом языке. Это сервис чат-бота.</w:t>
      </w:r>
    </w:p>
    <w:p w:rsidR="00000000" w:rsidDel="00000000" w:rsidP="00000000" w:rsidRDefault="00000000" w:rsidRPr="00000000" w14:paraId="00000006">
      <w:pPr>
        <w:rPr>
          <w:rFonts w:ascii="Times New Roman" w:cs="Times New Roman" w:eastAsia="Times New Roman" w:hAnsi="Times New Roman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Теперь клиент с нарушением слуха сможет получить консультацию по преимуществам перевода пенсии в ВТБ, таким как кешбэк, защита от мошенников, вклады, сотовая связь, доход по остатку на карте, а также дать обратную связь о работе сервиса на русском жестовом языке (РЖЯ). Сейчас мы активно собираем обратную связь от клиентов банка», –– рассказал директор ООО «Адаптис» Максим Нечай.</w:t>
      </w:r>
    </w:p>
    <w:p w:rsidR="00000000" w:rsidDel="00000000" w:rsidP="00000000" w:rsidRDefault="00000000" w:rsidRPr="00000000" w14:paraId="00000007">
      <w:pPr>
        <w:rPr>
          <w:rFonts w:ascii="Times New Roman" w:cs="Times New Roman" w:eastAsia="Times New Roman" w:hAnsi="Times New Roman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В основе чат-бота лежит технология подготовленного перевода на жестовый язык. По словам руководителя лаборатории компьютерных технологий перевода  РЖЯ НГТУ НЭТИ Кирилла Зубарева, данную технологию необходимо применять в случаях, когда требуется очень точный профессиональный перевод, либо когда необходимо точно донести до глухих клиентов информацию, например, о денежных средствах  и банковских операциях.  Данную технологию имеет смысл интегрировать на сайтах, приложениях или в чат ботах банков, медицинских, образовательных и государственных учреждений, а также в цифровых государственных сервисах.</w:t>
      </w:r>
    </w:p>
    <w:p w:rsidR="00000000" w:rsidDel="00000000" w:rsidP="00000000" w:rsidRDefault="00000000" w:rsidRPr="00000000" w14:paraId="00000008">
      <w:pPr>
        <w:rPr>
          <w:sz w:val="28"/>
          <w:szCs w:val="28"/>
        </w:rPr>
      </w:pPr>
      <w:r w:rsidDel="00000000" w:rsidR="00000000" w:rsidRPr="00000000">
        <w:rPr>
          <w:sz w:val="28"/>
          <w:szCs w:val="28"/>
          <w:rtl w:val="0"/>
        </w:rPr>
        <w:t xml:space="preserve">_________________________________________________________</w:t>
      </w:r>
    </w:p>
    <w:p w:rsidR="00000000" w:rsidDel="00000000" w:rsidP="00000000" w:rsidRDefault="00000000" w:rsidRPr="00000000" w14:paraId="00000009">
      <w:pPr>
        <w:rPr/>
      </w:pPr>
      <w:r w:rsidDel="00000000" w:rsidR="00000000" w:rsidRPr="00000000">
        <w:rPr>
          <w:rtl w:val="0"/>
        </w:rPr>
        <w:t xml:space="preserve">Для СМИ</w:t>
      </w:r>
    </w:p>
    <w:p w:rsidR="00000000" w:rsidDel="00000000" w:rsidP="00000000" w:rsidRDefault="00000000" w:rsidRPr="00000000" w14:paraId="0000000A">
      <w:pPr>
        <w:rPr/>
      </w:pPr>
      <w:r w:rsidDel="00000000" w:rsidR="00000000" w:rsidRPr="00000000">
        <w:rPr>
          <w:rtl w:val="0"/>
        </w:rPr>
        <w:t xml:space="preserve">Александр Сильченко, пресс-секретарь НГТУ НЭТИ, +7 996 382 61 19, </w:t>
      </w:r>
      <w:hyperlink r:id="rId7">
        <w:r w:rsidDel="00000000" w:rsidR="00000000" w:rsidRPr="00000000">
          <w:rPr>
            <w:color w:val="0563c1"/>
            <w:u w:val="single"/>
            <w:rtl w:val="0"/>
          </w:rPr>
          <w:t xml:space="preserve">silchenko@corp.nstu.ru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rPr>
          <w:color w:val="0000ff"/>
          <w:u w:val="single"/>
        </w:rPr>
      </w:pPr>
      <w:r w:rsidDel="00000000" w:rsidR="00000000" w:rsidRPr="00000000">
        <w:rPr>
          <w:rtl w:val="0"/>
        </w:rPr>
        <w:t xml:space="preserve">___________________________________________________________________</w:t>
      </w:r>
      <w:r w:rsidDel="00000000" w:rsidR="00000000" w:rsidRPr="00000000">
        <w:rPr>
          <w:rtl w:val="0"/>
        </w:rPr>
      </w:r>
    </w:p>
    <w:tbl>
      <w:tblPr>
        <w:tblStyle w:val="Table1"/>
        <w:tblW w:w="8614.0" w:type="dxa"/>
        <w:jc w:val="left"/>
        <w:tblLayout w:type="fixed"/>
        <w:tblLook w:val="0400"/>
      </w:tblPr>
      <w:tblGrid>
        <w:gridCol w:w="2835"/>
        <w:gridCol w:w="2835"/>
        <w:gridCol w:w="2694"/>
        <w:gridCol w:w="250"/>
        <w:tblGridChange w:id="0">
          <w:tblGrid>
            <w:gridCol w:w="2835"/>
            <w:gridCol w:w="2835"/>
            <w:gridCol w:w="2694"/>
            <w:gridCol w:w="250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0C">
            <w:pPr>
              <w:tabs>
                <w:tab w:val="center" w:leader="none" w:pos="4677"/>
                <w:tab w:val="right" w:leader="none" w:pos="9355"/>
              </w:tabs>
              <w:rPr/>
            </w:pPr>
            <w:r w:rsidDel="00000000" w:rsidR="00000000" w:rsidRPr="00000000">
              <w:rPr/>
              <w:drawing>
                <wp:inline distB="0" distT="0" distL="0" distR="0">
                  <wp:extent cx="152400" cy="142875"/>
                  <wp:effectExtent b="0" l="0" r="0" t="0"/>
                  <wp:docPr id="3" name="image6.png"/>
                  <a:graphic>
                    <a:graphicData uri="http://schemas.openxmlformats.org/drawingml/2006/picture">
                      <pic:pic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8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r w:rsidDel="00000000" w:rsidR="00000000" w:rsidRPr="00000000">
                <w:rPr>
                  <w:color w:val="0000ff"/>
                  <w:u w:val="single"/>
                  <w:rtl w:val="0"/>
                </w:rPr>
                <w:t xml:space="preserve">twitter.com/nstu_news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D">
            <w:pPr>
              <w:tabs>
                <w:tab w:val="center" w:leader="none" w:pos="4677"/>
                <w:tab w:val="right" w:leader="none" w:pos="9355"/>
              </w:tabs>
              <w:rPr/>
            </w:pPr>
            <w:r w:rsidDel="00000000" w:rsidR="00000000" w:rsidRPr="00000000">
              <w:rPr/>
              <w:drawing>
                <wp:inline distB="0" distT="0" distL="0" distR="0">
                  <wp:extent cx="152400" cy="152400"/>
                  <wp:effectExtent b="0" l="0" r="0" t="0"/>
                  <wp:docPr id="2" name="image2.png"/>
                  <a:graphic>
                    <a:graphicData uri="http://schemas.openxmlformats.org/drawingml/2006/picture">
                      <pic:pic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0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 w:rsidDel="00000000" w:rsidR="00000000" w:rsidRPr="00000000">
                <w:rPr>
                  <w:color w:val="0000ff"/>
                  <w:u w:val="single"/>
                  <w:rtl w:val="0"/>
                </w:rPr>
                <w:t xml:space="preserve">vk.com/nstu_vk</w:t>
              </w:r>
            </w:hyperlink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0E">
            <w:pPr>
              <w:numPr>
                <w:ilvl w:val="0"/>
                <w:numId w:val="1"/>
              </w:numPr>
              <w:tabs>
                <w:tab w:val="center" w:leader="none" w:pos="4677"/>
                <w:tab w:val="right" w:leader="none" w:pos="9355"/>
              </w:tabs>
              <w:spacing w:after="0" w:lineRule="auto"/>
              <w:ind w:left="714" w:hanging="357"/>
              <w:rPr/>
            </w:pPr>
            <w:r w:rsidDel="00000000" w:rsidR="00000000" w:rsidRPr="00000000">
              <w:rPr/>
              <w:drawing>
                <wp:inline distB="0" distT="0" distL="0" distR="0">
                  <wp:extent cx="152400" cy="152400"/>
                  <wp:effectExtent b="0" l="0" r="0" t="0"/>
                  <wp:docPr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 id="5" name="image5.jpg"/>
                  <a:graphic>
                    <a:graphicData uri="http://schemas.openxmlformats.org/drawingml/2006/picture">
                      <pic:pic>
                        <pic:nvPicPr>
                          <pic:cNvPr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 id="0" name="image5.jpg"/>
                          <pic:cNvPicPr preferRelativeResize="0"/>
                        </pic:nvPicPr>
                        <pic:blipFill>
                          <a:blip r:embed="rId12"/>
                          <a:srcRect b="5463" l="4953" r="4913" t="440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 w:rsidDel="00000000" w:rsidR="00000000" w:rsidRPr="00000000">
                <w:rPr>
                  <w:color w:val="0000ff"/>
                  <w:u w:val="single"/>
                  <w:rtl w:val="0"/>
                </w:rPr>
                <w:t xml:space="preserve">nstu.ru/fotobank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F">
            <w:pPr>
              <w:numPr>
                <w:ilvl w:val="0"/>
                <w:numId w:val="1"/>
              </w:numPr>
              <w:tabs>
                <w:tab w:val="center" w:leader="none" w:pos="4677"/>
                <w:tab w:val="right" w:leader="none" w:pos="9355"/>
              </w:tabs>
              <w:spacing w:after="0" w:lineRule="auto"/>
              <w:ind w:left="714" w:hanging="357"/>
              <w:rPr/>
            </w:pPr>
            <w:r w:rsidDel="00000000" w:rsidR="00000000" w:rsidRPr="00000000">
              <w:rPr/>
              <w:drawing>
                <wp:inline distB="0" distT="0" distL="0" distR="0">
                  <wp:extent cx="152400" cy="142875"/>
                  <wp:effectExtent b="0" l="0" r="0" t="0"/>
                  <wp:docPr id="4" name="image4.png"/>
                  <a:graphic>
                    <a:graphicData uri="http://schemas.openxmlformats.org/drawingml/2006/picture">
                      <pic:pic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14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 w:rsidDel="00000000" w:rsidR="00000000" w:rsidRPr="00000000">
                <w:rPr>
                  <w:color w:val="0000ff"/>
                  <w:u w:val="single"/>
                  <w:rtl w:val="0"/>
                </w:rPr>
                <w:t xml:space="preserve">nstu.ru/video</w:t>
              </w:r>
            </w:hyperlink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10">
            <w:pPr>
              <w:tabs>
                <w:tab w:val="center" w:leader="none" w:pos="4677"/>
                <w:tab w:val="right" w:leader="none" w:pos="9355"/>
              </w:tabs>
              <w:rPr/>
            </w:pPr>
            <w:r w:rsidDel="00000000" w:rsidR="00000000" w:rsidRPr="00000000">
              <w:rPr/>
              <w:drawing>
                <wp:inline distB="0" distT="0" distL="0" distR="0">
                  <wp:extent cx="142875" cy="152400"/>
                  <wp:effectExtent b="0" l="0" r="0" t="0"/>
                  <wp:docPr id="7" name="image1.png"/>
                  <a:graphic>
                    <a:graphicData uri="http://schemas.openxmlformats.org/drawingml/2006/picture">
                      <pic:pic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6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 w:rsidDel="00000000" w:rsidR="00000000" w:rsidRPr="00000000">
                <w:rPr>
                  <w:color w:val="0000ff"/>
                  <w:u w:val="single"/>
                  <w:rtl w:val="0"/>
                </w:rPr>
                <w:t xml:space="preserve">nstu.ru/news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1">
            <w:pPr>
              <w:tabs>
                <w:tab w:val="center" w:leader="none" w:pos="4677"/>
                <w:tab w:val="right" w:leader="none" w:pos="9355"/>
              </w:tabs>
              <w:rPr/>
            </w:pPr>
            <w:r w:rsidDel="00000000" w:rsidR="00000000" w:rsidRPr="00000000">
              <w:rPr/>
              <w:drawing>
                <wp:inline distB="0" distT="0" distL="0" distR="0">
                  <wp:extent cx="152400" cy="142875"/>
                  <wp:effectExtent b="0" l="0" r="0" t="0"/>
                  <wp:docPr id="6" name="image7.png"/>
                  <a:graphic>
                    <a:graphicData uri="http://schemas.openxmlformats.org/drawingml/2006/picture">
                      <pic:pic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18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9">
              <w:r w:rsidDel="00000000" w:rsidR="00000000" w:rsidRPr="00000000">
                <w:rPr>
                  <w:color w:val="0000ff"/>
                  <w:u w:val="single"/>
                  <w:rtl w:val="0"/>
                </w:rPr>
                <w:t xml:space="preserve">nstu.ru/pressreleases</w:t>
              </w:r>
            </w:hyperlink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12">
            <w:pPr>
              <w:tabs>
                <w:tab w:val="center" w:leader="none" w:pos="4677"/>
                <w:tab w:val="right" w:leader="none" w:pos="9355"/>
              </w:tabs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3">
      <w:pPr>
        <w:rPr>
          <w:rFonts w:ascii="Times New Roman" w:cs="Times New Roman" w:eastAsia="Times New Roman" w:hAnsi="Times New Roman"/>
          <w:color w:val="000000"/>
          <w:sz w:val="16"/>
          <w:szCs w:val="16"/>
          <w:highlight w:val="white"/>
        </w:rPr>
      </w:pPr>
      <w:r w:rsidDel="00000000" w:rsidR="00000000" w:rsidRPr="00000000">
        <w:rPr>
          <w:rtl w:val="0"/>
        </w:rPr>
      </w:r>
    </w:p>
    <w:sectPr>
      <w:pgSz w:h="16838" w:w="11906" w:orient="portrait"/>
      <w:pgMar w:bottom="851" w:top="1134" w:left="1701" w:right="851" w:header="709" w:footer="709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Arial"/>
  <w:font w:name="Times New Roman"/>
  <w:font w:name="Noto Sans Symbols">
    <w:embedRegular w:fontKey="{00000000-0000-0000-0000-000000000000}" r:id="rId1" w:subsetted="0"/>
    <w:embedBold w:fontKey="{00000000-0000-0000-0000-000000000000}" r:id="rId2" w:subsetted="0"/>
  </w:font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cs="Noto Sans Symbols" w:eastAsia="Noto Sans Symbols" w:hAnsi="Noto Sans Symbol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 Symbols" w:cs="Noto Sans Symbols" w:eastAsia="Noto Sans Symbols" w:hAnsi="Noto Sans Symbol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 Symbols" w:cs="Noto Sans Symbols" w:eastAsia="Noto Sans Symbols" w:hAnsi="Noto Sans Symbol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 Symbols" w:cs="Noto Sans Symbols" w:eastAsia="Noto Sans Symbols" w:hAnsi="Noto Sans Symbols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ru-RU"/>
      </w:rPr>
    </w:rPrDefault>
    <w:pPrDefault>
      <w:pPr>
        <w:spacing w:after="160" w:line="259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1" Type="http://schemas.openxmlformats.org/officeDocument/2006/relationships/hyperlink" Target="https://vk.com/nstu_vk" TargetMode="External"/><Relationship Id="rId10" Type="http://schemas.openxmlformats.org/officeDocument/2006/relationships/image" Target="media/image2.png"/><Relationship Id="rId13" Type="http://schemas.openxmlformats.org/officeDocument/2006/relationships/hyperlink" Target="http://www.nstu.ru/fotobank/" TargetMode="External"/><Relationship Id="rId12" Type="http://schemas.openxmlformats.org/officeDocument/2006/relationships/image" Target="media/image5.jpg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s://twitter.com/nstu_news" TargetMode="External"/><Relationship Id="rId15" Type="http://schemas.openxmlformats.org/officeDocument/2006/relationships/hyperlink" Target="http://www.nstu.ru/video/" TargetMode="External"/><Relationship Id="rId14" Type="http://schemas.openxmlformats.org/officeDocument/2006/relationships/image" Target="media/image4.png"/><Relationship Id="rId17" Type="http://schemas.openxmlformats.org/officeDocument/2006/relationships/hyperlink" Target="http://www.nstu.ru/news" TargetMode="External"/><Relationship Id="rId16" Type="http://schemas.openxmlformats.org/officeDocument/2006/relationships/image" Target="media/image1.png"/><Relationship Id="rId5" Type="http://schemas.openxmlformats.org/officeDocument/2006/relationships/styles" Target="styles.xml"/><Relationship Id="rId19" Type="http://schemas.openxmlformats.org/officeDocument/2006/relationships/hyperlink" Target="http://www.nstu.ru/pressreleases" TargetMode="External"/><Relationship Id="rId6" Type="http://schemas.openxmlformats.org/officeDocument/2006/relationships/image" Target="media/image3.png"/><Relationship Id="rId18" Type="http://schemas.openxmlformats.org/officeDocument/2006/relationships/image" Target="media/image7.png"/><Relationship Id="rId7" Type="http://schemas.openxmlformats.org/officeDocument/2006/relationships/hyperlink" Target="mailto:silchenko@corp.nstu.ru" TargetMode="External"/><Relationship Id="rId8" Type="http://schemas.openxmlformats.org/officeDocument/2006/relationships/image" Target="media/image6.png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Symbols-regular.ttf"/><Relationship Id="rId2" Type="http://schemas.openxmlformats.org/officeDocument/2006/relationships/font" Target="fonts/NotoSansSymbols-bold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