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32"/>
          <w:szCs w:val="32"/>
        </w:rPr>
        <w:drawing>
          <wp:inline distB="0" distT="0" distL="0" distR="0">
            <wp:extent cx="4925695" cy="768350"/>
            <wp:effectExtent b="0" l="0" r="0" t="0"/>
            <wp:docPr id="3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Разработка НГТУ НЭТИ снизит расход газа в ТЭЦ до 20%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br w:type="textWrapping"/>
        <w:br w:type="textWrapping"/>
        <w:t xml:space="preserve">В Новосибирском государственном техническом университете НЭТИ создали проект беспилотного комплекса Smart EnergyGate, благодаря которому стало возможно продавать электроэнергию малой генерации в общую сеть и снизить расход газа в ТЭЦ до 20%. Минигрид повышает эксплуатационный ресурс энергостанции, обеспечивает потребителей надежным электроснабжением, позволяет проводить ремонт и модернизацию оборудования без повышения тарифов, а также способствует снижению вредных выбросов в атмосферу за счет экономии топлива. Разработка имеет пять патентов и является уникальной во всем мире.</w:t>
      </w:r>
    </w:p>
    <w:p w:rsidR="00000000" w:rsidDel="00000000" w:rsidP="00000000" w:rsidRDefault="00000000" w:rsidRPr="00000000" w14:paraId="00000004">
      <w:pPr>
        <w:spacing w:after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Минигрид, или смартгрид — это локальная интеллектуальная энергосистема, основанная на полной автоматизации взаимодействия объектов малой генерации и централизованных сетей. Такой комплекс способен эффективно работать как автономно, так и параллельно с городской энергосистемой, продавая избытки энергии в общую сеть или, при необходимости, покупая их. Это позволяет владельцам станций вести ремонт и модернизацию систем и оборудования, оставляя тарифы для потребителей на прежнем уровне.</w:t>
      </w:r>
    </w:p>
    <w:p w:rsidR="00000000" w:rsidDel="00000000" w:rsidP="00000000" w:rsidRDefault="00000000" w:rsidRPr="00000000" w14:paraId="00000006">
      <w:pPr>
        <w:spacing w:after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«Уже сегодня только на территории России существуют десятки тысяч объектов с малой генерацией. Их интеграция в существующие крупные электрические сети может решить множество задач, среди которых повышение надежности электро- и теплоснабжения жилья и производств, развитие и модернизация систем энергоснабжения за счет привлечения инвестиций, а также улучшение экологии в силу снижения вредных выбросов в атмосферу», — рассказал руководитель проекта, доктор технических наук Александр Фишов.</w:t>
        <w:br w:type="textWrapping"/>
        <w:br w:type="textWrapping"/>
        <w:t xml:space="preserve">По словам ученого, интеграция смартгридов с централизованной сетью снижает пиковые нагрузки, быстро восстанавливает энергоснабжение в случае аварии, увеличивает эксплуатационный срок генерирующего оборудования, а также позволяет проводить ремонт и модернизацию систем за счет поступлений от продажи энергии в общую сеть, предотвращая рост тарифов. Кроме того, такие комплексы очень экологичны, так как в отличие от больших станций объекты малой генерации производят энергию даже на утилизации промышленных и бытовых отходов и способствуют снижению вредных выбросов в атмосферу за счет экономии топлива.</w:t>
      </w:r>
    </w:p>
    <w:p w:rsidR="00000000" w:rsidDel="00000000" w:rsidP="00000000" w:rsidRDefault="00000000" w:rsidRPr="00000000" w14:paraId="00000008">
      <w:pPr>
        <w:spacing w:after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«Развитие малой генерации в существующих электрических сетях значительно улучшит действующие системы энергоснабжения. Следует отметить, что возможность выдачи во внешние сети избытков мощности и продажи электроэнергии от объектов малой генерации, длительно простаивающих без работы на больших производствах, позволит вовлечь их общий энергобаланс, улучшить экономику предприятий и ограничить рост тарифов на энергию. Кроме того, это очень выгодные проекты, так как у подобного бизнеса короткие сроки окупаемости (до пяти лет) и высокая экономическая отдача», — отметил Александр Фишов.</w:t>
      </w:r>
    </w:p>
    <w:p w:rsidR="00000000" w:rsidDel="00000000" w:rsidP="00000000" w:rsidRDefault="00000000" w:rsidRPr="00000000" w14:paraId="0000000A">
      <w:pPr>
        <w:spacing w:after="0" w:line="276" w:lineRule="auto"/>
        <w:rPr>
          <w:rFonts w:ascii="Arial" w:cs="Arial" w:eastAsia="Arial" w:hAnsi="Arial"/>
          <w:b w:val="1"/>
          <w:color w:val="212529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Технология ученых НГТУ НЭТИ, разработанная по заказу Россетей, была успешно апробирована в жилмассиве «Березовое» в Новосибирске, прошла авторитетную экспертизу и награждена национальной премией в области энергетики. Сейчас команда активно ведет разработку и отладку мультиагентной технологии управления режимами электрических сетей с распределенной генерацией. Комплекс Smart EnergyGate создан по программе Минобрнауки России «Приоритет 2030» (нацпроект «Наука и университеты»).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______________________________________________________________</w:t>
      </w:r>
    </w:p>
    <w:p w:rsidR="00000000" w:rsidDel="00000000" w:rsidP="00000000" w:rsidRDefault="00000000" w:rsidRPr="00000000" w14:paraId="0000000C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Для СМИ</w:t>
      </w:r>
    </w:p>
    <w:p w:rsidR="00000000" w:rsidDel="00000000" w:rsidP="00000000" w:rsidRDefault="00000000" w:rsidRPr="00000000" w14:paraId="0000000D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ff"/>
          <w:sz w:val="24"/>
          <w:szCs w:val="24"/>
          <w:rtl w:val="0"/>
        </w:rPr>
        <w:t xml:space="preserve">Александр Сильченко, пресс-секретарь НГТУ НЭТИ, +7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996 382 61 19,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0563c1"/>
            <w:sz w:val="24"/>
            <w:szCs w:val="24"/>
            <w:u w:val="single"/>
            <w:rtl w:val="0"/>
          </w:rPr>
          <w:t xml:space="preserve">silchenko@corp.nstu.ru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___________________________________________________________________</w:t>
      </w:r>
      <w:r w:rsidDel="00000000" w:rsidR="00000000" w:rsidRPr="00000000">
        <w:rPr>
          <w:rtl w:val="0"/>
        </w:rPr>
      </w:r>
    </w:p>
    <w:tbl>
      <w:tblPr>
        <w:tblStyle w:val="Table1"/>
        <w:tblW w:w="8050.000000000001" w:type="dxa"/>
        <w:jc w:val="left"/>
        <w:tblInd w:w="0.0" w:type="dxa"/>
        <w:tblLayout w:type="fixed"/>
        <w:tblLook w:val="0400"/>
      </w:tblPr>
      <w:tblGrid>
        <w:gridCol w:w="2636"/>
        <w:gridCol w:w="2756"/>
        <w:gridCol w:w="2436"/>
        <w:gridCol w:w="222"/>
        <w:tblGridChange w:id="0">
          <w:tblGrid>
            <w:gridCol w:w="2636"/>
            <w:gridCol w:w="2756"/>
            <w:gridCol w:w="2436"/>
            <w:gridCol w:w="2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F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5" name="image5.png"/>
                  <a:graphic>
                    <a:graphicData uri="http://schemas.openxmlformats.org/drawingml/2006/picture">
                      <pic:pic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twitter.com/nstu_news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id="4" name="image4.png"/>
                  <a:graphic>
                    <a:graphicData uri="http://schemas.openxmlformats.org/drawingml/2006/picture">
                      <pic:pic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0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vk.com/nstu_vk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Rule="auto"/>
              <w:ind w:left="720" w:hanging="360"/>
              <w:rPr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7" name="image7.jpg"/>
                  <a:graphic>
                    <a:graphicData uri="http://schemas.openxmlformats.org/drawingml/2006/picture">
                      <pic:pic>
                        <pic:nvPicPr>
                          <pic:cNv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0" name="image7.jpg"/>
                          <pic:cNvPicPr preferRelativeResize="0"/>
                        </pic:nvPicPr>
                        <pic:blipFill>
                          <a:blip r:embed="rId12"/>
                          <a:srcRect b="5463" l="4953" r="4913" t="44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nstu.ru/fotobank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20" w:hanging="360"/>
              <w:rPr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6" name="image6.png"/>
                  <a:graphic>
                    <a:graphicData uri="http://schemas.openxmlformats.org/drawingml/2006/picture">
                      <pic:pic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4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nstu.ru/video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3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42875" cy="152400"/>
                  <wp:effectExtent b="0" l="0" r="0" t="0"/>
                  <wp:docPr id="2" name="image3.png"/>
                  <a:graphic>
                    <a:graphicData uri="http://schemas.openxmlformats.org/drawingml/2006/picture">
                      <pic:pic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6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1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nstu.ru/pressreleases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5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6">
      <w:pPr>
        <w:rPr/>
      </w:pPr>
      <w:bookmarkStart w:colFirst="0" w:colLast="0" w:name="_gjdgxs" w:id="0"/>
      <w:bookmarkEnd w:id="0"/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Arial"/>
  <w:font w:name="Noto Sans Symbol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vk.com/nstu_vk" TargetMode="External"/><Relationship Id="rId10" Type="http://schemas.openxmlformats.org/officeDocument/2006/relationships/image" Target="media/image4.png"/><Relationship Id="rId13" Type="http://schemas.openxmlformats.org/officeDocument/2006/relationships/hyperlink" Target="http://www.nstu.ru/fotobank/" TargetMode="External"/><Relationship Id="rId12" Type="http://schemas.openxmlformats.org/officeDocument/2006/relationships/image" Target="media/image7.jp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twitter.com/nstu_news" TargetMode="External"/><Relationship Id="rId15" Type="http://schemas.openxmlformats.org/officeDocument/2006/relationships/hyperlink" Target="http://www.nstu.ru/video/" TargetMode="External"/><Relationship Id="rId14" Type="http://schemas.openxmlformats.org/officeDocument/2006/relationships/image" Target="media/image6.png"/><Relationship Id="rId17" Type="http://schemas.openxmlformats.org/officeDocument/2006/relationships/hyperlink" Target="http://www.nstu.ru/news" TargetMode="External"/><Relationship Id="rId16" Type="http://schemas.openxmlformats.org/officeDocument/2006/relationships/image" Target="media/image3.png"/><Relationship Id="rId5" Type="http://schemas.openxmlformats.org/officeDocument/2006/relationships/styles" Target="styles.xml"/><Relationship Id="rId19" Type="http://schemas.openxmlformats.org/officeDocument/2006/relationships/hyperlink" Target="http://www.nstu.ru/pressreleases" TargetMode="External"/><Relationship Id="rId6" Type="http://schemas.openxmlformats.org/officeDocument/2006/relationships/image" Target="media/image1.png"/><Relationship Id="rId18" Type="http://schemas.openxmlformats.org/officeDocument/2006/relationships/image" Target="media/image2.png"/><Relationship Id="rId7" Type="http://schemas.openxmlformats.org/officeDocument/2006/relationships/hyperlink" Target="mailto:silchenko@corp.nstu.ru" TargetMode="External"/><Relationship Id="rId8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